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-314325</wp:posOffset>
            </wp:positionV>
            <wp:extent cx="2819400" cy="962025"/>
            <wp:effectExtent l="0" t="0" r="0" b="0"/>
            <wp:wrapNone/>
            <wp:docPr id="12" name="图片 11" descr="（北大圈）新版北丰商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（北大圈）新版北丰商学院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中国CFO财务总监高级研修班</w:t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b/>
          <w:spacing w:val="20"/>
          <w:szCs w:val="21"/>
        </w:rPr>
      </w:pPr>
    </w:p>
    <w:p>
      <w:pPr>
        <w:spacing w:line="400" w:lineRule="exact"/>
        <w:ind w:left="-424" w:leftChars="-202"/>
        <w:jc w:val="left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line="400" w:lineRule="exact"/>
        <w:ind w:left="-424" w:leftChars="-202"/>
        <w:jc w:val="left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如何成为一名合格的财务总监？</w:t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 w:val="28"/>
          <w:szCs w:val="28"/>
        </w:rPr>
      </w:pPr>
      <w:r>
        <w:rPr>
          <w:rFonts w:ascii="微软雅黑" w:hAnsi="微软雅黑" w:eastAsia="微软雅黑"/>
          <w:spacing w:val="20"/>
          <w:sz w:val="28"/>
          <w:szCs w:val="2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224790</wp:posOffset>
            </wp:positionV>
            <wp:extent cx="5238750" cy="3095625"/>
            <wp:effectExtent l="19050" t="0" r="0" b="0"/>
            <wp:wrapNone/>
            <wp:docPr id="5" name="图片 4" descr="前言图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前言图片-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line="400" w:lineRule="exact"/>
        <w:ind w:left="-424" w:leftChars="-202"/>
        <w:jc w:val="left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来财务总监班你能学到什么？</w:t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ascii="微软雅黑" w:hAnsi="微软雅黑" w:eastAsia="微软雅黑"/>
          <w:spacing w:val="20"/>
          <w:szCs w:val="21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8890</wp:posOffset>
            </wp:positionV>
            <wp:extent cx="5734050" cy="2047875"/>
            <wp:effectExtent l="19050" t="0" r="0" b="0"/>
            <wp:wrapNone/>
            <wp:docPr id="23" name="图片 22" descr="前言图片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前言图片-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【核心价值】</w:t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ascii="微软雅黑" w:hAnsi="微软雅黑" w:eastAsia="微软雅黑"/>
          <w:spacing w:val="20"/>
          <w:szCs w:val="21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187325</wp:posOffset>
            </wp:positionV>
            <wp:extent cx="6029325" cy="2905125"/>
            <wp:effectExtent l="19050" t="0" r="9525" b="0"/>
            <wp:wrapNone/>
            <wp:docPr id="3" name="图片 2" descr="核心特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核心特色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b/>
          <w:spacing w:val="20"/>
          <w:szCs w:val="21"/>
        </w:rPr>
      </w:pPr>
    </w:p>
    <w:p>
      <w:pPr>
        <w:spacing w:line="4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spacing w:line="500" w:lineRule="exact"/>
        <w:ind w:left="-141" w:leftChars="-67"/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【课程体系】</w:t>
      </w:r>
    </w:p>
    <w:tbl>
      <w:tblPr>
        <w:tblStyle w:val="8"/>
        <w:tblW w:w="92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5" w:type="dxa"/>
            <w:tcBorders>
              <w:tl2br w:val="nil"/>
              <w:tr2bl w:val="nil"/>
            </w:tcBorders>
            <w:shd w:val="pct20" w:color="000000" w:fill="FFFFFF"/>
          </w:tcPr>
          <w:p>
            <w:pPr>
              <w:spacing w:line="390" w:lineRule="exact"/>
              <w:outlineLvl w:val="0"/>
              <w:rPr>
                <w:rFonts w:ascii="微软雅黑" w:hAnsi="微软雅黑" w:eastAsia="微软雅黑" w:cs="Times New Roman"/>
                <w:b w:val="0"/>
                <w:bCs w:val="0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一、企业财务战略管控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tabs>
                <w:tab w:val="left" w:pos="1290"/>
              </w:tabs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第一模块：企业财务与商业模式</w:t>
            </w:r>
            <w:r>
              <w:rPr>
                <w:rFonts w:ascii="微软雅黑" w:hAnsi="微软雅黑" w:eastAsia="微软雅黑" w:cs="Times New Roman"/>
                <w:b/>
                <w:kern w:val="0"/>
                <w:sz w:val="2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现代商业模式概述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典型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商业模式分析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比较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商业模式的设计与操作</w:t>
            </w:r>
          </w:p>
          <w:p>
            <w:pPr>
              <w:tabs>
                <w:tab w:val="left" w:pos="663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投资角度的商业模式创新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第二模块：企业财务战略管控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集团公司管理与变革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集团战略与财务战略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集团核心职能管控体系构建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集团财务管控实战策划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集团财务管控制度设计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BEBEBE" w:themeFill="background1" w:themeFillShade="BF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二、财税实务管理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第一模块：企业税务战略规划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税收筹划的基本理论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税务筹划体系的建立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所得税筹划的具体操作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企业所得税的汇算清缴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增值税纳税筹划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增值税纳税筹划的具体操作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第二模块：并购重组中的财税管理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企业股权投资、重组中的税收政策分析与税务问题处理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企业重组过程中主要的涉及的税种框架和主要政策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股权收购的会计处理与税务规划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企业合并会计与税务处理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企业分立的会计与税务处理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债务重组的会计处理与税务规划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企业并购涉及的增值税、营业税、契税等税务问题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8. 讨论：证监会近期出台新规对企业及财务的影响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三、财务内部价值提升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第一模块：全面预算与业绩评价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预算管理综合介绍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预算目标的确定与分解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预算组织的建立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预算编制中的管理要点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预算执行中的管理要点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预算跟踪与考核的管理要点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第二模块：价值链分析与战略成本管理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企业价值链分析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行业价值链分析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竞争对手价值链分析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企业成本战略设计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作业成本法与作业成本管理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成本管理手段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成本控制的绩效评估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第三模块：企业内部控制与风险管理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企业风险管理概述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如何建立有效的内部控制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企业财务预警体系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企业内部信息传递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390" w:lineRule="exact"/>
              <w:outlineLvl w:val="0"/>
              <w:rPr>
                <w:rFonts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四、投融资与公司理财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第一模块：企业融资策划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企业内部融资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民间融资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银行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租赁融资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风险投资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股票市场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第二模块：现金流与资金管理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现金流量与营运资本分析</w:t>
            </w:r>
          </w:p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现金流量的量化计算</w:t>
            </w:r>
          </w:p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企业现金流入管理</w:t>
            </w:r>
          </w:p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企业现金流出管理</w:t>
            </w:r>
          </w:p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现金流量规划预测</w:t>
            </w:r>
          </w:p>
          <w:p>
            <w:pPr>
              <w:tabs>
                <w:tab w:val="left" w:pos="60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现金流量的量化分析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5" w:type="dxa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90" w:lineRule="exact"/>
              <w:rPr>
                <w:rFonts w:ascii="微软雅黑" w:hAnsi="微软雅黑" w:eastAsia="微软雅黑" w:cs="Arial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五、资本运营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第一模块：IPO及财务规范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企业上市过程主要会计工作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IPO常用会计政策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IPO与新会计准则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收入确认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资金管理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旧账清理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股份支付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8. 出资问题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9. 股本规模、股本结构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10. 上市前资产与业务重组财务处理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11. 各种财务不规范问题处理方法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12. 业绩连续计算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第二模块：私募股权融资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私募股权与风险投资概论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私募股权基金投资纲要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股权融资策划及案例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企业价值评估的途径与方法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风险投资与企业估值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第三模块：不确定环境下的商业决策与企业的收购兼并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不确定环境下的决策制定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全球并购大趋势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并购的动机及风险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并购所牵涉的各方利益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并购的过程与业绩评估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并购中的估值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中国企业海外并购的机遇和陷阱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8. 反向并购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第四模块：互联网时代的金融风险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什么是金融、中国式金融、互联网金融？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网上金融产品销售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互联网金融与金融互联网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互联网金融的未来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5. 外汇衍生工具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6. 国际金融中的平价关系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7. 识别风险及估算其规模</w:t>
            </w:r>
          </w:p>
          <w:p>
            <w:pPr>
              <w:tabs>
                <w:tab w:val="left" w:pos="1080"/>
              </w:tabs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8. 管理及控制国际贸易与国际投/融资带来的外汇风险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pacing w:val="30"/>
                <w:kern w:val="0"/>
                <w:sz w:val="24"/>
                <w:szCs w:val="20"/>
              </w:rPr>
              <w:t>六、CFO管理经验交流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第一模块：CFO的角色定位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新环境下CFO定位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CFO对所面临的挑战和主要职责的认知差异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CFO 与 CEO战略伙伴关系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CFO职业生涯规划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b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2"/>
              </w:rPr>
              <w:t>第二模块：企业财务商法规划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1. 公司法与合同法的要点及应用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2. 消除设计、撰写、签署等合同的“风险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3. 仲裁、担保法的要点及应用</w:t>
            </w:r>
          </w:p>
          <w:p>
            <w:pPr>
              <w:spacing w:line="390" w:lineRule="exac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1"/>
              </w:rPr>
              <w:t>4. 刑法的相关应用</w:t>
            </w:r>
          </w:p>
        </w:tc>
      </w:tr>
    </w:tbl>
    <w:p>
      <w:pPr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ind w:left="-424" w:leftChars="-202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【部分师资】</w: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200025</wp:posOffset>
            </wp:positionV>
            <wp:extent cx="929640" cy="1296035"/>
            <wp:effectExtent l="57150" t="19050" r="80010" b="56515"/>
            <wp:wrapNone/>
            <wp:docPr id="9" name="图片 8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剑桥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9603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142875</wp:posOffset>
            </wp:positionV>
            <wp:extent cx="981075" cy="1369695"/>
            <wp:effectExtent l="57150" t="19050" r="85725" b="59055"/>
            <wp:wrapNone/>
            <wp:docPr id="8" name="图片 7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剑桥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969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1" o:spid="_x0000_s2061" o:spt="202" type="#_x0000_t202" style="position:absolute;left:0pt;margin-left:53.2pt;margin-top:14.7pt;height:97.2pt;width:149.6pt;z-index:251674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赵龙凯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北京大学光华管理学院金融系 副教授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2" o:spid="_x0000_s2062" o:spt="202" type="#_x0000_t202" style="position:absolute;left:0pt;margin-left:306.1pt;margin-top:19.85pt;height:97.2pt;width:149.6pt;z-index:25167564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肖星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清华大学经济管理学院会计系 主任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62865</wp:posOffset>
            </wp:positionV>
            <wp:extent cx="977265" cy="1361440"/>
            <wp:effectExtent l="57150" t="19050" r="70485" b="48260"/>
            <wp:wrapNone/>
            <wp:docPr id="7" name="图片 6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剑桥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6144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62865</wp:posOffset>
            </wp:positionV>
            <wp:extent cx="971550" cy="1352550"/>
            <wp:effectExtent l="57150" t="19050" r="76200" b="57150"/>
            <wp:wrapNone/>
            <wp:docPr id="6" name="图片 5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剑桥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525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6" o:spid="_x0000_s2066" o:spt="202" type="#_x0000_t202" style="position:absolute;left:0pt;margin-left:306.2pt;margin-top:18.3pt;height:97.2pt;width:149.6pt;z-index:25167974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冯科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北京大学经济学院 副教授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北京大学光华管理学院博士生导师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5" o:spid="_x0000_s2065" o:spt="202" type="#_x0000_t202" style="position:absolute;left:0pt;margin-left:53.2pt;margin-top:17.5pt;height:97.2pt;width:149.6pt;z-index:25167872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周立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清华大学经济管理学院会计系 教授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0" o:spid="_x0000_s2070" o:spt="202" type="#_x0000_t202" style="position:absolute;left:0pt;margin-left:305.45pt;margin-top:12.5pt;height:97.2pt;width:149.6pt;z-index:2516838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陆正华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华南理工大学工商管理学院副教授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注册会计师（CPA）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49530</wp:posOffset>
            </wp:positionV>
            <wp:extent cx="974090" cy="1357630"/>
            <wp:effectExtent l="57150" t="19050" r="73660" b="52070"/>
            <wp:wrapNone/>
            <wp:docPr id="18" name="图片 17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霍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35763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69" o:spid="_x0000_s2069" o:spt="202" type="#_x0000_t202" style="position:absolute;left:0pt;margin-left:54.7pt;margin-top:13.5pt;height:111.8pt;width:149.6pt;z-index:25168281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刘娥平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中山大学金融投资研究中心主任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中山大学管理学院教授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43815</wp:posOffset>
            </wp:positionV>
            <wp:extent cx="1009650" cy="1405890"/>
            <wp:effectExtent l="57150" t="19050" r="76200" b="60960"/>
            <wp:wrapNone/>
            <wp:docPr id="17" name="图片 16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霍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589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83820</wp:posOffset>
            </wp:positionV>
            <wp:extent cx="1005840" cy="1400175"/>
            <wp:effectExtent l="57150" t="19050" r="80010" b="66675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剑桥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001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3" o:spid="_x0000_s2073" o:spt="202" type="#_x0000_t202" style="position:absolute;left:0pt;margin-left:54.7pt;margin-top:8.85pt;height:79.2pt;width:149.6pt;z-index:25168691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丁志国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吉林大学商学院金融学教授、博士生导师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68580</wp:posOffset>
            </wp:positionV>
            <wp:extent cx="1005840" cy="1400175"/>
            <wp:effectExtent l="57150" t="19050" r="80010" b="66675"/>
            <wp:wrapNone/>
            <wp:docPr id="21" name="图片 20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霍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001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4" o:spid="_x0000_s2074" o:spt="202" type="#_x0000_t202" style="position:absolute;left:0pt;margin-left:306.2pt;margin-top:6.85pt;height:97.2pt;width:149.6pt;z-index:2516879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 xml:space="preserve">赵仲杰 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中国注册会计师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注册税务师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国内著名实战型财税专家</w:t>
                  </w:r>
                </w:p>
              </w:txbxContent>
            </v:textbox>
          </v:shape>
        </w:pict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7" o:spid="_x0000_s2077" o:spt="202" type="#_x0000_t202" style="position:absolute;left:0pt;margin-left:55.45pt;margin-top:8.15pt;height:115.2pt;width:149.6pt;z-index:2516910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裴章先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实战派高级培训师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沙盘培训专家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中国沙盘模拟实战教学研究院副院长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pict>
          <v:shape id="_x0000_s2078" o:spid="_x0000_s2078" o:spt="202" type="#_x0000_t202" style="position:absolute;left:0pt;margin-left:309.4pt;margin-top:6.55pt;height:97.2pt;width:149.6pt;z-index:25183846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袁立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资深投资银行家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北京化工大学经济管理学院 教授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108585</wp:posOffset>
            </wp:positionV>
            <wp:extent cx="1057275" cy="1473200"/>
            <wp:effectExtent l="57150" t="19050" r="85725" b="50800"/>
            <wp:wrapNone/>
            <wp:docPr id="1" name="图片 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剑桥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732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pacing w:val="20"/>
          <w:sz w:val="24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121920</wp:posOffset>
            </wp:positionV>
            <wp:extent cx="1019175" cy="1415415"/>
            <wp:effectExtent l="57150" t="19050" r="85725" b="51435"/>
            <wp:wrapNone/>
            <wp:docPr id="22" name="图片 21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霍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541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pacing w:val="20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</w:p>
    <w:p>
      <w:pPr>
        <w:ind w:left="-567" w:leftChars="-270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【招生对象】</w:t>
      </w:r>
    </w:p>
    <w:p>
      <w:pPr>
        <w:spacing w:line="400" w:lineRule="exact"/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企事业单位总会计师、财务部长、财务总监、财务主管、战略投融资等财经业内人士；董事长、董事、总裁、总经理、副总等企业财务决策和管理者。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【学习安排】</w:t>
      </w:r>
    </w:p>
    <w:p>
      <w:pPr>
        <w:ind w:left="-567" w:leftChars="-270"/>
        <w:jc w:val="left"/>
        <w:rPr>
          <w:rFonts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spacing w:val="20"/>
          <w:szCs w:val="21"/>
        </w:rPr>
        <w:t>学制一年，每两月集中授课2-3天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</w:rPr>
        <w:t>【学习费用】</w:t>
      </w:r>
    </w:p>
    <w:p>
      <w:pPr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2018 RMB 2万元/人（学员学习期间的食宿费、交通费自理）</w:t>
      </w:r>
    </w:p>
    <w:p>
      <w:pPr>
        <w:ind w:left="-567" w:leftChars="-270"/>
        <w:jc w:val="left"/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pacing w:val="20"/>
          <w:sz w:val="24"/>
          <w:szCs w:val="24"/>
          <w:lang w:eastAsia="zh-CN"/>
        </w:rPr>
        <w:t>【联系方式】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联系人：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  <w:lang w:eastAsia="zh-CN"/>
        </w:rPr>
        <w:t>张老师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15801019329    李老师 13661275200</w:t>
      </w:r>
      <w:r>
        <w:rPr>
          <w:rFonts w:hint="eastAsia" w:ascii="微软雅黑" w:hAnsi="微软雅黑" w:eastAsia="微软雅黑"/>
          <w:spacing w:val="20"/>
          <w:szCs w:val="21"/>
        </w:rPr>
        <w:t xml:space="preserve"> </w:t>
      </w:r>
    </w:p>
    <w:p>
      <w:pPr>
        <w:spacing w:line="400" w:lineRule="exact"/>
        <w:ind w:left="-567" w:leftChars="-270"/>
        <w:jc w:val="left"/>
        <w:rPr>
          <w:rFonts w:hint="eastAsia" w:ascii="微软雅黑" w:hAnsi="微软雅黑" w:eastAsia="微软雅黑"/>
          <w:spacing w:val="20"/>
          <w:szCs w:val="21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 xml:space="preserve">电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20"/>
          <w:szCs w:val="21"/>
        </w:rPr>
        <w:t xml:space="preserve">话：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>010-56156755</w:t>
      </w:r>
      <w:r>
        <w:rPr>
          <w:rFonts w:hint="eastAsia" w:ascii="微软雅黑" w:hAnsi="微软雅黑" w:eastAsia="微软雅黑"/>
          <w:spacing w:val="20"/>
          <w:szCs w:val="21"/>
        </w:rPr>
        <w:t xml:space="preserve">  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 </w:t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pacing w:val="20"/>
          <w:szCs w:val="21"/>
        </w:rPr>
        <w:t>邮</w:t>
      </w:r>
      <w:r>
        <w:rPr>
          <w:rFonts w:hint="eastAsia" w:ascii="微软雅黑" w:hAnsi="微软雅黑" w:eastAsia="微软雅黑"/>
          <w:spacing w:val="2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pacing w:val="20"/>
          <w:szCs w:val="21"/>
        </w:rPr>
        <w:t>箱: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"mailto:pkuyxb@163.com"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pkuyxb@163.com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"mailto:137198858@qq.com"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val="en-US" w:eastAsia="zh-CN"/>
        </w:rPr>
        <w:t>137198858@qq.com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00" w:lineRule="exact"/>
        <w:ind w:left="-567" w:leftChars="-27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中国CFO财务总监高级研修班</w:t>
      </w: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56156755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ascii="微软雅黑" w:hAnsi="微软雅黑" w:eastAsia="微软雅黑"/>
          <w:spacing w:val="20"/>
          <w:sz w:val="24"/>
          <w:szCs w:val="24"/>
        </w:rPr>
      </w:pPr>
      <w:r>
        <w:rPr>
          <w:rFonts w:hint="eastAsia"/>
        </w:rPr>
        <w:t>附注：1、此表复印有效。2、填好后请传真或邮件的方式传至招生办。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73239"/>
    </w:sdtPr>
    <w:sdtContent>
      <w:p>
        <w:pPr>
          <w:pStyle w:val="3"/>
          <w:jc w:val="right"/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1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5BDF"/>
    <w:rsid w:val="0002666F"/>
    <w:rsid w:val="00055FD3"/>
    <w:rsid w:val="00061499"/>
    <w:rsid w:val="000E26DD"/>
    <w:rsid w:val="00107EC7"/>
    <w:rsid w:val="00110E18"/>
    <w:rsid w:val="00142CDD"/>
    <w:rsid w:val="001569AD"/>
    <w:rsid w:val="001731CA"/>
    <w:rsid w:val="001B5DCF"/>
    <w:rsid w:val="00241C2B"/>
    <w:rsid w:val="002645A4"/>
    <w:rsid w:val="0028628D"/>
    <w:rsid w:val="002C524B"/>
    <w:rsid w:val="002D5337"/>
    <w:rsid w:val="002E0584"/>
    <w:rsid w:val="00313CB9"/>
    <w:rsid w:val="003F363F"/>
    <w:rsid w:val="004373F1"/>
    <w:rsid w:val="00440B5F"/>
    <w:rsid w:val="00454501"/>
    <w:rsid w:val="004839AB"/>
    <w:rsid w:val="00492FAA"/>
    <w:rsid w:val="00503F33"/>
    <w:rsid w:val="00517C17"/>
    <w:rsid w:val="005703B2"/>
    <w:rsid w:val="005F1519"/>
    <w:rsid w:val="006562E5"/>
    <w:rsid w:val="006F1366"/>
    <w:rsid w:val="00733100"/>
    <w:rsid w:val="007530D7"/>
    <w:rsid w:val="007A46C3"/>
    <w:rsid w:val="00803B3F"/>
    <w:rsid w:val="00830FBE"/>
    <w:rsid w:val="0084692D"/>
    <w:rsid w:val="00877588"/>
    <w:rsid w:val="008B2B8A"/>
    <w:rsid w:val="008F3677"/>
    <w:rsid w:val="00906025"/>
    <w:rsid w:val="009636AD"/>
    <w:rsid w:val="00986F12"/>
    <w:rsid w:val="00990952"/>
    <w:rsid w:val="00993DFE"/>
    <w:rsid w:val="009B4A3E"/>
    <w:rsid w:val="00A05BDF"/>
    <w:rsid w:val="00A43CB5"/>
    <w:rsid w:val="00A4556C"/>
    <w:rsid w:val="00B22965"/>
    <w:rsid w:val="00B67E3A"/>
    <w:rsid w:val="00BB4388"/>
    <w:rsid w:val="00BC1ED7"/>
    <w:rsid w:val="00C17F1E"/>
    <w:rsid w:val="00C51570"/>
    <w:rsid w:val="00C77B97"/>
    <w:rsid w:val="00CB1F71"/>
    <w:rsid w:val="00D166A8"/>
    <w:rsid w:val="00D87402"/>
    <w:rsid w:val="00DA5FDA"/>
    <w:rsid w:val="00DD2DB6"/>
    <w:rsid w:val="00DD657C"/>
    <w:rsid w:val="00E05138"/>
    <w:rsid w:val="00E22012"/>
    <w:rsid w:val="00E23306"/>
    <w:rsid w:val="00E65743"/>
    <w:rsid w:val="00E835FD"/>
    <w:rsid w:val="00EB076B"/>
    <w:rsid w:val="00EE55BB"/>
    <w:rsid w:val="00F44B4A"/>
    <w:rsid w:val="00F51232"/>
    <w:rsid w:val="00F54B90"/>
    <w:rsid w:val="00F9154B"/>
    <w:rsid w:val="00FE56CF"/>
    <w:rsid w:val="18CD4F69"/>
    <w:rsid w:val="2E3D4A8B"/>
    <w:rsid w:val="32AB635A"/>
    <w:rsid w:val="340A244E"/>
    <w:rsid w:val="77562EA9"/>
    <w:rsid w:val="7B9E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Contemporary"/>
    <w:basedOn w:val="7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2"/>
    <customShpInfo spid="_x0000_s2066"/>
    <customShpInfo spid="_x0000_s2065"/>
    <customShpInfo spid="_x0000_s2070"/>
    <customShpInfo spid="_x0000_s2069"/>
    <customShpInfo spid="_x0000_s2073"/>
    <customShpInfo spid="_x0000_s2074"/>
    <customShpInfo spid="_x0000_s2077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</Words>
  <Characters>1632</Characters>
  <Lines>13</Lines>
  <Paragraphs>3</Paragraphs>
  <ScaleCrop>false</ScaleCrop>
  <LinksUpToDate>false</LinksUpToDate>
  <CharactersWithSpaces>1915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2017-12-05T02:10:00Z</dcterms:created>
  <dc:creator>jiangxt</dc:creator>
  <cp:lastModifiedBy>Administrator</cp:lastModifiedBy>
  <dcterms:modified xsi:type="dcterms:W3CDTF">2017-12-25T03:05:02Z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