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宋体"/>
          <w:b/>
          <w:color w:val="9E2428"/>
          <w:sz w:val="36"/>
          <w:lang w:eastAsia="zh-CN"/>
        </w:rPr>
      </w:pPr>
    </w:p>
    <w:p>
      <w:pPr>
        <w:pStyle w:val="9"/>
        <w:widowControl w:val="0"/>
        <w:spacing w:before="240" w:beforeAutospacing="0" w:after="60" w:afterAutospacing="0"/>
        <w:jc w:val="center"/>
        <w:outlineLvl w:val="0"/>
        <w:rPr>
          <w:rFonts w:cs="宋体"/>
          <w:color w:val="9E2428"/>
          <w:sz w:val="72"/>
          <w:szCs w:val="72"/>
        </w:rPr>
      </w:pPr>
      <w:r>
        <w:rPr>
          <w:rFonts w:hint="eastAsia" w:cs="宋体"/>
          <w:b/>
          <w:color w:val="9E2428"/>
          <w:kern w:val="2"/>
          <w:sz w:val="72"/>
          <w:szCs w:val="72"/>
        </w:rPr>
        <w:t>博雅国学商道高级研修班</w:t>
      </w:r>
    </w:p>
    <w:p>
      <w:pPr>
        <w:tabs>
          <w:tab w:val="left" w:pos="1980"/>
          <w:tab w:val="left" w:pos="2520"/>
          <w:tab w:val="left" w:pos="7200"/>
          <w:tab w:val="left" w:pos="7560"/>
        </w:tabs>
        <w:spacing w:beforeLines="100" w:afterLines="100" w:line="300" w:lineRule="auto"/>
        <w:jc w:val="center"/>
        <w:rPr>
          <w:b/>
          <w:color w:val="006666"/>
          <w:sz w:val="52"/>
          <w:szCs w:val="52"/>
        </w:rPr>
      </w:pPr>
      <w:r>
        <w:rPr>
          <w:rFonts w:hint="eastAsia" w:ascii="新宋体" w:hAnsi="新宋体" w:eastAsia="新宋体"/>
          <w:b/>
          <w:color w:val="0000FF"/>
          <w:sz w:val="24"/>
        </w:rPr>
        <w:t>北大研修网：</w:t>
      </w:r>
      <w:r>
        <w:rPr>
          <w:rFonts w:hint="eastAsia" w:ascii="新宋体" w:hAnsi="新宋体" w:eastAsia="新宋体"/>
          <w:b/>
          <w:color w:val="0000FF"/>
          <w:sz w:val="24"/>
        </w:rPr>
        <w:fldChar w:fldCharType="begin"/>
      </w:r>
      <w:r>
        <w:rPr>
          <w:rFonts w:hint="eastAsia" w:ascii="新宋体" w:hAnsi="新宋体" w:eastAsia="新宋体"/>
          <w:b/>
          <w:color w:val="0000FF"/>
          <w:sz w:val="24"/>
        </w:rPr>
        <w:instrText xml:space="preserve"> HYPERLINK "http://tsinghua.embayx.org/" </w:instrText>
      </w:r>
      <w:r>
        <w:rPr>
          <w:rFonts w:hint="eastAsia" w:ascii="新宋体" w:hAnsi="新宋体" w:eastAsia="新宋体"/>
          <w:b/>
          <w:color w:val="0000FF"/>
          <w:sz w:val="24"/>
        </w:rPr>
        <w:fldChar w:fldCharType="separate"/>
      </w:r>
      <w:r>
        <w:rPr>
          <w:rFonts w:hint="eastAsia" w:ascii="新宋体" w:hAnsi="新宋体" w:eastAsia="新宋体"/>
          <w:b/>
          <w:color w:val="0000FF"/>
          <w:sz w:val="24"/>
        </w:rPr>
        <w:t>http://www.pkupxw.org/</w:t>
      </w:r>
      <w:r>
        <w:rPr>
          <w:rFonts w:hint="eastAsia" w:ascii="新宋体" w:hAnsi="新宋体" w:eastAsia="新宋体"/>
          <w:b/>
          <w:color w:val="0000FF"/>
          <w:sz w:val="24"/>
        </w:rPr>
        <w:fldChar w:fldCharType="end"/>
      </w:r>
    </w:p>
    <w:p>
      <w:pPr>
        <w:spacing w:line="1000" w:lineRule="exact"/>
        <w:jc w:val="center"/>
        <w:rPr>
          <w:rFonts w:ascii="微软雅黑" w:hAnsi="微软雅黑" w:eastAsia="微软雅黑" w:cs="微软雅黑"/>
          <w:b/>
          <w:color w:val="9E2428"/>
          <w:sz w:val="36"/>
        </w:rPr>
      </w:pPr>
      <w:r>
        <w:rPr>
          <w:rFonts w:ascii="微软雅黑" w:hAnsi="微软雅黑" w:eastAsia="微软雅黑" w:cs="微软雅黑"/>
          <w:b/>
          <w:color w:val="9E2428"/>
          <w:sz w:val="36"/>
        </w:rPr>
        <w:pict>
          <v:line id="Line 2" o:spid="_x0000_s1028" o:spt="20" style="position:absolute;left:0pt;margin-left:147.35pt;margin-top:12pt;height:0.05pt;width:170.1pt;z-index:251661312;mso-width-relative:page;mso-height-relative:page;" o:preferrelative="t" stroked="t" coordsize="21600,21600">
            <v:path arrowok="t"/>
            <v:fill focussize="0,0"/>
            <v:stroke color="#9E2428" miterlimit="2" dashstyle="1 1"/>
            <v:imagedata o:title=""/>
            <o:lock v:ext="edit"/>
          </v:line>
        </w:pict>
      </w:r>
      <w:r>
        <w:rPr>
          <w:rFonts w:hint="eastAsia" w:ascii="微软雅黑" w:hAnsi="微软雅黑" w:eastAsia="微软雅黑" w:cs="微软雅黑"/>
          <w:b/>
          <w:color w:val="9E2428"/>
          <w:sz w:val="36"/>
        </w:rPr>
        <w:t>招生简章</w:t>
      </w:r>
    </w:p>
    <w:p>
      <w:pPr>
        <w:rPr>
          <w:b/>
          <w:sz w:val="44"/>
          <w:szCs w:val="44"/>
        </w:rPr>
      </w:pPr>
      <w:r>
        <w:rPr>
          <w:b/>
          <w:color w:val="00CCFF"/>
          <w:sz w:val="36"/>
        </w:rPr>
        <w:pict>
          <v:line id="Line 3" o:spid="_x0000_s1029" o:spt="20" style="position:absolute;left:0pt;margin-left:146.6pt;margin-top:4.2pt;height:0.05pt;width:170.1pt;z-index:251662336;mso-width-relative:page;mso-height-relative:page;" o:preferrelative="t" stroked="t" coordsize="21600,21600">
            <v:path arrowok="t"/>
            <v:fill focussize="0,0"/>
            <v:stroke color="#9E2428" miterlimit="2" dashstyle="1 1"/>
            <v:imagedata o:title=""/>
            <o:lock v:ext="edit"/>
          </v:line>
        </w:pict>
      </w:r>
    </w:p>
    <w:p>
      <w:pPr>
        <w:ind w:right="-315"/>
        <w:rPr>
          <w:rFonts w:ascii="黑体" w:hAnsi="黑体" w:eastAsia="黑体"/>
          <w:b/>
          <w:sz w:val="44"/>
          <w:szCs w:val="44"/>
        </w:rPr>
      </w:pPr>
      <w:r>
        <w:rPr>
          <w:rFonts w:ascii="黑体" w:hAnsi="黑体" w:eastAsia="黑体"/>
          <w:b/>
          <w:sz w:val="44"/>
          <w:szCs w:val="44"/>
        </w:rPr>
        <w:pict>
          <v:rect id="Rectangle 4" o:spid="_x0000_s1030" o:spt="1" style="position:absolute;left:0pt;margin-left:-20.75pt;margin-top:22.8pt;height:56pt;width:496.5pt;z-index:-251658240;mso-width-relative:page;mso-height-relative:page;" fillcolor="#9E2428" filled="t" o:preferrelative="t" stroked="t" coordsize="21600,21600">
            <v:path/>
            <v:fill on="t" focussize="0,0"/>
            <v:stroke weight="2.25pt" color="#9E2428" miterlimit="2"/>
            <v:imagedata o:title=""/>
            <o:lock v:ext="edit"/>
          </v:rect>
        </w:pict>
      </w:r>
    </w:p>
    <w:p>
      <w:pPr>
        <w:spacing w:line="360" w:lineRule="auto"/>
        <w:jc w:val="center"/>
        <w:rPr>
          <w:b/>
          <w:sz w:val="36"/>
        </w:rPr>
      </w:pPr>
      <w:r>
        <w:rPr>
          <w:rFonts w:hint="eastAsia" w:ascii="宋体" w:hAnsi="宋体" w:cs="宋体"/>
          <w:b/>
          <w:color w:val="FFFFFF"/>
          <w:sz w:val="36"/>
          <w:szCs w:val="36"/>
        </w:rPr>
        <w:t>尊德性而道问学  致广大而尽精微  极高明而道中庸</w:t>
      </w:r>
    </w:p>
    <w:p>
      <w:pPr>
        <w:jc w:val="center"/>
        <w:rPr>
          <w:b/>
          <w:sz w:val="36"/>
        </w:rPr>
      </w:pPr>
      <w:r>
        <w:drawing>
          <wp:anchor distT="0" distB="0" distL="114300" distR="114300" simplePos="0" relativeHeight="251660288" behindDoc="1" locked="0" layoutInCell="1" allowOverlap="1">
            <wp:simplePos x="0" y="0"/>
            <wp:positionH relativeFrom="column">
              <wp:posOffset>-237490</wp:posOffset>
            </wp:positionH>
            <wp:positionV relativeFrom="paragraph">
              <wp:posOffset>229870</wp:posOffset>
            </wp:positionV>
            <wp:extent cx="6263005" cy="4230370"/>
            <wp:effectExtent l="57150" t="38100" r="42545" b="1778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6" cstate="print"/>
                    <a:srcRect/>
                    <a:stretch>
                      <a:fillRect/>
                    </a:stretch>
                  </pic:blipFill>
                  <pic:spPr>
                    <a:xfrm>
                      <a:off x="0" y="0"/>
                      <a:ext cx="6263005" cy="4230370"/>
                    </a:xfrm>
                    <a:prstGeom prst="rect">
                      <a:avLst/>
                    </a:prstGeom>
                    <a:noFill/>
                    <a:ln w="31750">
                      <a:solidFill>
                        <a:srgbClr val="9E2428"/>
                      </a:solidFill>
                      <a:miter lim="200000"/>
                      <a:headEnd/>
                      <a:tailEnd/>
                    </a:ln>
                  </pic:spPr>
                </pic:pic>
              </a:graphicData>
            </a:graphic>
          </wp:anchor>
        </w:drawing>
      </w:r>
    </w:p>
    <w:p>
      <w:pPr>
        <w:jc w:val="center"/>
        <w:rPr>
          <w:b/>
          <w:sz w:val="52"/>
          <w:szCs w:val="52"/>
        </w:rPr>
      </w:pPr>
    </w:p>
    <w:p>
      <w:pPr>
        <w:rPr>
          <w:b/>
          <w:sz w:val="52"/>
          <w:szCs w:val="52"/>
        </w:rPr>
      </w:pPr>
    </w:p>
    <w:p>
      <w:pPr>
        <w:jc w:val="center"/>
        <w:rPr>
          <w:b/>
          <w:sz w:val="52"/>
          <w:szCs w:val="52"/>
        </w:rPr>
      </w:pPr>
    </w:p>
    <w:p>
      <w:pPr>
        <w:rPr>
          <w:b/>
          <w:sz w:val="52"/>
          <w:szCs w:val="52"/>
        </w:rPr>
      </w:pPr>
    </w:p>
    <w:p>
      <w:pPr>
        <w:rPr>
          <w:b/>
          <w:color w:val="003366"/>
          <w:sz w:val="32"/>
          <w:szCs w:val="32"/>
        </w:rPr>
      </w:pPr>
    </w:p>
    <w:p>
      <w:pPr>
        <w:rPr>
          <w:b/>
          <w:color w:val="003366"/>
          <w:sz w:val="32"/>
          <w:szCs w:val="32"/>
        </w:rPr>
      </w:pPr>
    </w:p>
    <w:p>
      <w:pPr>
        <w:rPr>
          <w:rFonts w:ascii="微软雅黑" w:hAnsi="微软雅黑" w:eastAsia="微软雅黑" w:cs="微软雅黑"/>
          <w:b/>
          <w:color w:val="990099"/>
          <w:sz w:val="32"/>
          <w:szCs w:val="32"/>
        </w:rPr>
      </w:pPr>
    </w:p>
    <w:p>
      <w:pPr>
        <w:rPr>
          <w:rFonts w:ascii="微软雅黑" w:hAnsi="微软雅黑" w:eastAsia="微软雅黑" w:cs="微软雅黑"/>
          <w:b/>
          <w:color w:val="A84F25"/>
          <w:sz w:val="32"/>
          <w:szCs w:val="32"/>
        </w:rPr>
      </w:pPr>
    </w:p>
    <w:p>
      <w:pPr>
        <w:rPr>
          <w:rFonts w:hint="eastAsia" w:ascii="微软雅黑" w:hAnsi="微软雅黑" w:eastAsia="微软雅黑" w:cs="微软雅黑"/>
          <w:b/>
          <w:color w:val="9E2428"/>
          <w:sz w:val="32"/>
          <w:szCs w:val="32"/>
        </w:rPr>
      </w:pPr>
    </w:p>
    <w:p>
      <w:pPr>
        <w:rPr>
          <w:rFonts w:ascii="微软雅黑" w:hAnsi="微软雅黑" w:eastAsia="微软雅黑" w:cs="微软雅黑"/>
          <w:b/>
          <w:color w:val="9E2428"/>
          <w:sz w:val="32"/>
          <w:szCs w:val="32"/>
        </w:rPr>
      </w:pPr>
      <w:r>
        <w:rPr>
          <w:rFonts w:ascii="微软雅黑" w:hAnsi="微软雅黑" w:eastAsia="微软雅黑" w:cs="微软雅黑"/>
          <w:color w:val="9E2428"/>
          <w:sz w:val="32"/>
          <w:szCs w:val="32"/>
        </w:rPr>
        <w:pict>
          <v:rect id="Rectangle 6" o:spid="_x0000_s1032" o:spt="1" style="position:absolute;left:0pt;margin-left:94.5pt;margin-top:7.8pt;height:15.6pt;width:368.5pt;z-index:251663360;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▍学院简介</w:t>
      </w:r>
    </w:p>
    <w:p>
      <w:pPr>
        <w:spacing w:line="480" w:lineRule="auto"/>
        <w:rPr>
          <w:rFonts w:ascii="宋体" w:hAnsi="宋体"/>
          <w:sz w:val="28"/>
          <w:szCs w:val="28"/>
        </w:rPr>
      </w:pPr>
      <w:r>
        <w:rPr>
          <w:rFonts w:ascii="宋体" w:hAnsi="宋体"/>
          <w:sz w:val="28"/>
          <w:szCs w:val="28"/>
        </w:rPr>
        <w:drawing>
          <wp:inline distT="0" distB="0" distL="0" distR="0">
            <wp:extent cx="5856605" cy="732790"/>
            <wp:effectExtent l="19050" t="0" r="0" b="0"/>
            <wp:docPr id="1"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1"/>
                    <pic:cNvPicPr>
                      <a:picLocks noChangeAspect="1" noChangeArrowheads="1"/>
                    </pic:cNvPicPr>
                  </pic:nvPicPr>
                  <pic:blipFill>
                    <a:blip r:embed="rId7" cstate="print"/>
                    <a:srcRect/>
                    <a:stretch>
                      <a:fillRect/>
                    </a:stretch>
                  </pic:blipFill>
                  <pic:spPr>
                    <a:xfrm>
                      <a:off x="0" y="0"/>
                      <a:ext cx="5856605" cy="732790"/>
                    </a:xfrm>
                    <a:prstGeom prst="rect">
                      <a:avLst/>
                    </a:prstGeom>
                    <a:solidFill>
                      <a:srgbClr val="003366"/>
                    </a:solidFill>
                    <a:ln w="9525">
                      <a:noFill/>
                      <a:miter lim="800000"/>
                      <a:headEnd/>
                      <a:tailEnd/>
                    </a:ln>
                  </pic:spPr>
                </pic:pic>
              </a:graphicData>
            </a:graphic>
          </wp:inline>
        </w:drawing>
      </w:r>
    </w:p>
    <w:p>
      <w:pPr>
        <w:spacing w:line="276" w:lineRule="auto"/>
        <w:rPr>
          <w:rFonts w:ascii="宋体" w:hAnsi="宋体"/>
          <w:sz w:val="24"/>
          <w:szCs w:val="24"/>
        </w:rPr>
      </w:pPr>
    </w:p>
    <w:p>
      <w:pPr>
        <w:spacing w:line="276" w:lineRule="auto"/>
        <w:ind w:firstLine="480" w:firstLineChars="200"/>
        <w:rPr>
          <w:rFonts w:ascii="宋体" w:hAnsi="宋体"/>
          <w:sz w:val="24"/>
          <w:szCs w:val="24"/>
        </w:rPr>
      </w:pPr>
      <w:r>
        <w:rPr>
          <w:rFonts w:ascii="宋体" w:hAnsi="宋体"/>
          <w:sz w:val="24"/>
          <w:szCs w:val="24"/>
        </w:rPr>
        <w:t>博雅总裁商学院成立于2008年，从诞生起就继承了百年学府的优秀基因，经过六年的磨砺，博雅总裁商学院已经发展成为有完善课程体系、成熟运营团队的一流商学院。是目前国内最富盛名、最具远见的企业家商学院之一。</w:t>
      </w:r>
      <w:r>
        <w:rPr>
          <w:rFonts w:ascii="宋体" w:hAnsi="宋体"/>
          <w:sz w:val="24"/>
          <w:szCs w:val="24"/>
        </w:rPr>
        <w:br w:type="textWrapping"/>
      </w:r>
      <w:r>
        <w:rPr>
          <w:rFonts w:ascii="宋体" w:hAnsi="宋体"/>
          <w:sz w:val="24"/>
          <w:szCs w:val="24"/>
        </w:rPr>
        <w:t>  博雅总裁商学院整合国内外顶尖名校的优势教育资源，致力于为中国新经济时代的成长型企业和创新型企业家提供高端化、系统化、国际化的实战学习方案。拥有400多位国内外知名专家教授团队，每年培养4000多名企业家学员、并为上百家企事业单位或集团提供个性化培训。学院自2008年成立至今已经培养2万余名企业家学员，是国内最大的企业家研修平台。</w:t>
      </w:r>
      <w:r>
        <w:rPr>
          <w:rFonts w:ascii="宋体" w:hAnsi="宋体"/>
          <w:sz w:val="24"/>
          <w:szCs w:val="24"/>
        </w:rPr>
        <w:br w:type="textWrapping"/>
      </w:r>
      <w:r>
        <w:rPr>
          <w:rFonts w:ascii="宋体" w:hAnsi="宋体"/>
          <w:sz w:val="24"/>
          <w:szCs w:val="24"/>
        </w:rPr>
        <w:t>  博雅总裁学院建立了非常成熟、全面的高端课程体系，尤其是在管理、金融、国学、地产、女性修养、后EMBA等方面已经成为国内企业家研修的领跑者。</w:t>
      </w:r>
      <w:r>
        <w:rPr>
          <w:rFonts w:ascii="宋体" w:hAnsi="宋体"/>
          <w:sz w:val="24"/>
          <w:szCs w:val="24"/>
        </w:rPr>
        <w:br w:type="textWrapping"/>
      </w:r>
      <w:r>
        <w:rPr>
          <w:rFonts w:ascii="宋体" w:hAnsi="宋体"/>
          <w:sz w:val="24"/>
          <w:szCs w:val="24"/>
        </w:rPr>
        <w:t>  博雅总裁商学院与美国波士顿大学、哈佛大学、斯坦福大学、日本早稻田大学、东京大学、剑桥大学、新加坡国立大学、南洋理工大学、香港中文大学等很多世界一流大学建立了战略合作关系，让中国的企业家共享世界一流的教育资源。</w:t>
      </w:r>
      <w:r>
        <w:rPr>
          <w:rFonts w:ascii="宋体" w:hAnsi="宋体"/>
          <w:sz w:val="24"/>
          <w:szCs w:val="24"/>
        </w:rPr>
        <w:br w:type="textWrapping"/>
      </w:r>
      <w:r>
        <w:rPr>
          <w:rFonts w:ascii="宋体" w:hAnsi="宋体"/>
          <w:sz w:val="24"/>
          <w:szCs w:val="24"/>
        </w:rPr>
        <w:t>  博雅总裁商学院设立博雅总裁俱乐部，采取线上线下结合的形式，志在搭建最优质的学习平台，最有影响力的商脉平台，最有效的投融资平台。</w:t>
      </w:r>
    </w:p>
    <w:p>
      <w:pPr>
        <w:spacing w:line="276" w:lineRule="auto"/>
        <w:ind w:firstLine="541" w:firstLineChars="258"/>
        <w:rPr>
          <w:szCs w:val="21"/>
        </w:rPr>
      </w:pPr>
    </w:p>
    <w:p>
      <w:pPr>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7" o:spid="_x0000_s1034" o:spt="1" style="position:absolute;left:0pt;margin-left:100.7pt;margin-top:7.95pt;height:15.6pt;width:368.5pt;z-index:251675648;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▍课程背景</w:t>
      </w:r>
    </w:p>
    <w:p>
      <w:pPr>
        <w:spacing w:line="360" w:lineRule="auto"/>
        <w:ind w:firstLine="440" w:firstLineChars="200"/>
        <w:rPr>
          <w:bCs/>
          <w:spacing w:val="-10"/>
          <w:sz w:val="24"/>
          <w:szCs w:val="24"/>
        </w:rPr>
      </w:pPr>
      <w:r>
        <w:rPr>
          <w:rFonts w:hint="eastAsia"/>
          <w:bCs/>
          <w:spacing w:val="-10"/>
          <w:sz w:val="24"/>
          <w:szCs w:val="24"/>
        </w:rPr>
        <w:t>静观古今中外，凡善为贾者，其识必广；凡善取利者，其智亦高。商以智为本，而智以人为枢，故欲战略领先者，必先修一国之学，运用国学之智慧达到善思、善行的至高境界。</w:t>
      </w:r>
    </w:p>
    <w:p>
      <w:pPr>
        <w:spacing w:line="360" w:lineRule="auto"/>
        <w:ind w:firstLine="470" w:firstLineChars="196"/>
        <w:rPr>
          <w:sz w:val="24"/>
          <w:szCs w:val="24"/>
        </w:rPr>
      </w:pPr>
      <w:r>
        <w:rPr>
          <w:rFonts w:hint="eastAsia"/>
          <w:bCs/>
          <w:sz w:val="24"/>
          <w:szCs w:val="24"/>
        </w:rPr>
        <w:t>国学智慧博大精深，中国企业的发展在借鉴现代管理理念的同时，更要领悟东方传统哲学智慧的伟大力量。半部《论语》知天下，半部《论语》治天下；孔子的中庸之道、老子的无为而治、孙子的不战而胜；将中华五千年博大精深的传统文化与西方现代理念有机结合，是中国未来发展的基础。</w:t>
      </w:r>
    </w:p>
    <w:p>
      <w:pPr>
        <w:spacing w:line="360" w:lineRule="auto"/>
        <w:ind w:firstLine="470" w:firstLineChars="196"/>
        <w:rPr>
          <w:b/>
          <w:bCs/>
          <w:color w:val="FF0000"/>
          <w:position w:val="6"/>
          <w:sz w:val="24"/>
          <w:szCs w:val="24"/>
          <w:u w:val="double"/>
        </w:rPr>
      </w:pPr>
      <w:bookmarkStart w:id="0" w:name="2_6"/>
      <w:bookmarkEnd w:id="0"/>
      <w:bookmarkStart w:id="1" w:name="2_7"/>
      <w:bookmarkEnd w:id="1"/>
      <w:r>
        <w:rPr>
          <w:rFonts w:hint="eastAsia"/>
          <w:sz w:val="24"/>
          <w:szCs w:val="24"/>
        </w:rPr>
        <w:t>诚邀天下有志之士齐聚博雅总裁商学院，聆听大师谈古论今；纵观天下，以史为鉴，以圣贤为师友。锤炼思维，锻造悟性，提升洞察力，求得内心之本原，获得真我之实现。体悟中国古典哲学智慧，透视现代商业真理，解读中国文化背景下的为政经商之道。</w:t>
      </w:r>
    </w:p>
    <w:p>
      <w:pPr>
        <w:spacing w:line="360" w:lineRule="auto"/>
        <w:rPr>
          <w:rFonts w:ascii="宋体" w:hAnsi="宋体" w:cs="宋体"/>
          <w:sz w:val="24"/>
          <w:szCs w:val="24"/>
        </w:rPr>
      </w:pPr>
      <w:r>
        <w:rPr>
          <w:rFonts w:ascii="宋体" w:hAnsi="宋体" w:cs="宋体"/>
          <w:sz w:val="24"/>
          <w:szCs w:val="24"/>
        </w:rPr>
        <w:drawing>
          <wp:anchor distT="0" distB="0" distL="114300" distR="114300" simplePos="0" relativeHeight="251659264" behindDoc="1" locked="0" layoutInCell="1" allowOverlap="1">
            <wp:simplePos x="0" y="0"/>
            <wp:positionH relativeFrom="column">
              <wp:posOffset>732790</wp:posOffset>
            </wp:positionH>
            <wp:positionV relativeFrom="paragraph">
              <wp:posOffset>6002020</wp:posOffset>
            </wp:positionV>
            <wp:extent cx="5952490" cy="364744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8" cstate="print">
                      <a:lum contrast="40000"/>
                    </a:blip>
                    <a:srcRect/>
                    <a:stretch>
                      <a:fillRect/>
                    </a:stretch>
                  </pic:blipFill>
                  <pic:spPr>
                    <a:xfrm>
                      <a:off x="0" y="0"/>
                      <a:ext cx="5952490" cy="3647440"/>
                    </a:xfrm>
                    <a:prstGeom prst="rect">
                      <a:avLst/>
                    </a:prstGeom>
                    <a:noFill/>
                    <a:ln w="9525">
                      <a:noFill/>
                      <a:miter lim="800000"/>
                      <a:headEnd/>
                      <a:tailEnd/>
                    </a:ln>
                  </pic:spPr>
                </pic:pic>
              </a:graphicData>
            </a:graphic>
          </wp:anchor>
        </w:drawing>
      </w:r>
    </w:p>
    <w:p>
      <w:pPr>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9" o:spid="_x0000_s1036" o:spt="1" style="position:absolute;left:0pt;margin-left:100.7pt;margin-top:7.95pt;height:15.6pt;width:368.5pt;z-index:251664384;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▍课程特色</w:t>
      </w:r>
    </w:p>
    <w:p>
      <w:pPr>
        <w:adjustRightInd w:val="0"/>
        <w:snapToGrid w:val="0"/>
        <w:spacing w:line="360" w:lineRule="auto"/>
        <w:rPr>
          <w:rFonts w:ascii="黑体" w:hAnsi="黑体" w:eastAsia="黑体"/>
          <w:b/>
          <w:color w:val="800000"/>
          <w:sz w:val="28"/>
          <w:szCs w:val="28"/>
        </w:rPr>
      </w:pPr>
      <w:r>
        <w:rPr>
          <w:rFonts w:ascii="微软雅黑" w:hAnsi="微软雅黑" w:eastAsia="微软雅黑" w:cs="微软雅黑"/>
          <w:b/>
          <w:color w:val="990099"/>
          <w:sz w:val="32"/>
          <w:szCs w:val="32"/>
        </w:rPr>
        <w:drawing>
          <wp:anchor distT="0" distB="0" distL="114300" distR="114300" simplePos="0" relativeHeight="251673600" behindDoc="0" locked="0" layoutInCell="1" allowOverlap="1">
            <wp:simplePos x="0" y="0"/>
            <wp:positionH relativeFrom="column">
              <wp:posOffset>-20320</wp:posOffset>
            </wp:positionH>
            <wp:positionV relativeFrom="paragraph">
              <wp:posOffset>88900</wp:posOffset>
            </wp:positionV>
            <wp:extent cx="2391410" cy="1566545"/>
            <wp:effectExtent l="19050" t="0" r="889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9" cstate="print"/>
                    <a:srcRect/>
                    <a:stretch>
                      <a:fillRect/>
                    </a:stretch>
                  </pic:blipFill>
                  <pic:spPr>
                    <a:xfrm>
                      <a:off x="0" y="0"/>
                      <a:ext cx="2391410" cy="1566545"/>
                    </a:xfrm>
                    <a:prstGeom prst="rect">
                      <a:avLst/>
                    </a:prstGeom>
                    <a:noFill/>
                    <a:ln w="9525">
                      <a:noFill/>
                      <a:miter lim="800000"/>
                      <a:headEnd/>
                      <a:tailEnd/>
                    </a:ln>
                  </pic:spPr>
                </pic:pic>
              </a:graphicData>
            </a:graphic>
          </wp:anchor>
        </w:drawing>
      </w:r>
    </w:p>
    <w:p>
      <w:pPr>
        <w:pStyle w:val="19"/>
        <w:widowControl/>
        <w:spacing w:line="360" w:lineRule="auto"/>
        <w:ind w:firstLine="0" w:firstLineChars="0"/>
        <w:jc w:val="left"/>
        <w:rPr>
          <w:rFonts w:ascii="黑体" w:hAnsi="黑体" w:eastAsia="黑体"/>
          <w:b/>
          <w:color w:val="9E2428"/>
          <w:sz w:val="24"/>
          <w:szCs w:val="24"/>
        </w:rPr>
      </w:pPr>
    </w:p>
    <w:p>
      <w:pPr>
        <w:adjustRightInd w:val="0"/>
        <w:snapToGrid w:val="0"/>
        <w:spacing w:line="360" w:lineRule="auto"/>
        <w:rPr>
          <w:rFonts w:ascii="黑体" w:hAnsi="黑体" w:eastAsia="黑体"/>
          <w:b/>
          <w:color w:val="003366"/>
          <w:sz w:val="28"/>
          <w:szCs w:val="28"/>
        </w:rPr>
      </w:pPr>
      <w:r>
        <w:rPr>
          <w:rFonts w:hint="eastAsia" w:cs="宋体"/>
          <w:b/>
          <w:color w:val="9E2428"/>
          <w:sz w:val="28"/>
          <w:szCs w:val="28"/>
        </w:rPr>
        <w:t xml:space="preserve">● 八大模块: </w:t>
      </w:r>
      <w:r>
        <w:rPr>
          <w:rFonts w:hint="eastAsia" w:cs="宋体"/>
          <w:szCs w:val="24"/>
        </w:rPr>
        <w:t>独创儒、释、道、易、史、兵法、养生、法家思想八大教学模块，经史合参，圆融无碍。</w:t>
      </w:r>
    </w:p>
    <w:p>
      <w:pPr>
        <w:pStyle w:val="9"/>
        <w:widowControl w:val="0"/>
        <w:spacing w:before="0" w:beforeAutospacing="0" w:after="0" w:afterAutospacing="0" w:line="360" w:lineRule="auto"/>
        <w:jc w:val="both"/>
        <w:rPr>
          <w:rFonts w:cs="宋体"/>
          <w:b/>
          <w:color w:val="A84F25"/>
          <w:sz w:val="28"/>
          <w:szCs w:val="28"/>
        </w:rPr>
      </w:pPr>
    </w:p>
    <w:p>
      <w:pPr>
        <w:pStyle w:val="9"/>
        <w:widowControl w:val="0"/>
        <w:spacing w:before="0" w:beforeAutospacing="0" w:after="0" w:afterAutospacing="0" w:line="360" w:lineRule="auto"/>
        <w:jc w:val="both"/>
        <w:rPr>
          <w:rFonts w:cs="宋体"/>
          <w:b/>
          <w:color w:val="A84F25"/>
          <w:sz w:val="28"/>
          <w:szCs w:val="28"/>
        </w:rPr>
      </w:pPr>
      <w:r>
        <w:rPr>
          <w:rFonts w:ascii="黑体" w:hAnsi="黑体" w:eastAsia="黑体" w:cs="黑体"/>
          <w:b/>
          <w:color w:val="A84F25"/>
          <w:sz w:val="28"/>
          <w:szCs w:val="28"/>
        </w:rPr>
        <w:drawing>
          <wp:anchor distT="0" distB="0" distL="114300" distR="114300" simplePos="0" relativeHeight="251671552" behindDoc="0" locked="0" layoutInCell="1" allowOverlap="1">
            <wp:simplePos x="0" y="0"/>
            <wp:positionH relativeFrom="column">
              <wp:posOffset>1320800</wp:posOffset>
            </wp:positionH>
            <wp:positionV relativeFrom="paragraph">
              <wp:posOffset>391795</wp:posOffset>
            </wp:positionV>
            <wp:extent cx="2304415" cy="1497965"/>
            <wp:effectExtent l="19050" t="0" r="63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0" cstate="print"/>
                    <a:srcRect/>
                    <a:stretch>
                      <a:fillRect/>
                    </a:stretch>
                  </pic:blipFill>
                  <pic:spPr>
                    <a:xfrm>
                      <a:off x="0" y="0"/>
                      <a:ext cx="2304415" cy="1497965"/>
                    </a:xfrm>
                    <a:prstGeom prst="rect">
                      <a:avLst/>
                    </a:prstGeom>
                    <a:noFill/>
                    <a:ln w="9525">
                      <a:noFill/>
                      <a:miter lim="800000"/>
                      <a:headEnd/>
                      <a:tailEnd/>
                    </a:ln>
                  </pic:spPr>
                </pic:pic>
              </a:graphicData>
            </a:graphic>
          </wp:anchor>
        </w:drawing>
      </w:r>
    </w:p>
    <w:p>
      <w:pPr>
        <w:pStyle w:val="9"/>
        <w:widowControl w:val="0"/>
        <w:spacing w:before="0" w:beforeAutospacing="0" w:after="0" w:afterAutospacing="0" w:line="360" w:lineRule="auto"/>
        <w:rPr>
          <w:szCs w:val="24"/>
        </w:rPr>
      </w:pPr>
      <w:r>
        <w:rPr>
          <w:rFonts w:hint="eastAsia" w:cs="宋体"/>
          <w:b/>
          <w:color w:val="9E2428"/>
          <w:sz w:val="28"/>
          <w:szCs w:val="28"/>
        </w:rPr>
        <w:t xml:space="preserve">●学以致用: </w:t>
      </w:r>
      <w:r>
        <w:rPr>
          <w:rFonts w:hint="eastAsia" w:ascii="Calibri" w:hAnsi="Calibri"/>
          <w:szCs w:val="24"/>
        </w:rPr>
        <w:t>以史鉴今，以儒做人，以易启智，以兵增略，以道明德，以禅见性，以医养生，以法御术。</w:t>
      </w:r>
    </w:p>
    <w:p>
      <w:pPr>
        <w:spacing w:line="360" w:lineRule="auto"/>
        <w:ind w:firstLine="470" w:firstLineChars="196"/>
        <w:jc w:val="left"/>
        <w:rPr>
          <w:rFonts w:ascii="黑体"/>
          <w:sz w:val="24"/>
          <w:vertAlign w:val="subscript"/>
        </w:rPr>
      </w:pPr>
    </w:p>
    <w:p>
      <w:pPr>
        <w:spacing w:line="360" w:lineRule="auto"/>
        <w:jc w:val="left"/>
        <w:rPr>
          <w:rFonts w:ascii="宋体" w:hAnsi="宋体" w:cs="宋体"/>
          <w:b/>
          <w:color w:val="9E2428"/>
          <w:sz w:val="28"/>
          <w:szCs w:val="28"/>
        </w:rPr>
      </w:pPr>
    </w:p>
    <w:p>
      <w:pPr>
        <w:spacing w:line="360" w:lineRule="auto"/>
        <w:jc w:val="left"/>
        <w:rPr>
          <w:rFonts w:ascii="宋体" w:hAnsi="宋体" w:cs="宋体"/>
          <w:b/>
          <w:color w:val="9E2428"/>
          <w:sz w:val="28"/>
          <w:szCs w:val="28"/>
        </w:rPr>
      </w:pPr>
      <w:r>
        <w:rPr>
          <w:rFonts w:ascii="宋体" w:hAnsi="宋体" w:cs="宋体"/>
          <w:b/>
          <w:color w:val="9E2428"/>
          <w:sz w:val="28"/>
          <w:szCs w:val="28"/>
        </w:rPr>
        <w:drawing>
          <wp:anchor distT="0" distB="0" distL="114300" distR="114300" simplePos="0" relativeHeight="251672576" behindDoc="0" locked="0" layoutInCell="1" allowOverlap="1">
            <wp:simplePos x="0" y="0"/>
            <wp:positionH relativeFrom="column">
              <wp:posOffset>-20320</wp:posOffset>
            </wp:positionH>
            <wp:positionV relativeFrom="paragraph">
              <wp:posOffset>13335</wp:posOffset>
            </wp:positionV>
            <wp:extent cx="2530475" cy="1616710"/>
            <wp:effectExtent l="19050" t="0" r="3175"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11" cstate="print"/>
                    <a:srcRect/>
                    <a:stretch>
                      <a:fillRect/>
                    </a:stretch>
                  </pic:blipFill>
                  <pic:spPr>
                    <a:xfrm>
                      <a:off x="0" y="0"/>
                      <a:ext cx="2530475" cy="1616710"/>
                    </a:xfrm>
                    <a:prstGeom prst="rect">
                      <a:avLst/>
                    </a:prstGeom>
                    <a:noFill/>
                    <a:ln w="9525">
                      <a:noFill/>
                      <a:miter lim="800000"/>
                      <a:headEnd/>
                      <a:tailEnd/>
                    </a:ln>
                  </pic:spPr>
                </pic:pic>
              </a:graphicData>
            </a:graphic>
          </wp:anchor>
        </w:drawing>
      </w:r>
    </w:p>
    <w:p>
      <w:pPr>
        <w:spacing w:line="360" w:lineRule="auto"/>
        <w:jc w:val="left"/>
        <w:rPr>
          <w:color w:val="9E2428"/>
          <w:sz w:val="24"/>
          <w:szCs w:val="24"/>
        </w:rPr>
      </w:pPr>
      <w:r>
        <w:rPr>
          <w:rFonts w:hint="eastAsia" w:ascii="宋体" w:hAnsi="宋体" w:cs="宋体"/>
          <w:b/>
          <w:color w:val="9E2428"/>
          <w:sz w:val="28"/>
          <w:szCs w:val="28"/>
        </w:rPr>
        <w:t xml:space="preserve">● </w:t>
      </w:r>
      <w:r>
        <w:rPr>
          <w:rFonts w:hint="eastAsia" w:ascii="宋体" w:hAnsi="宋体" w:cs="宋体"/>
          <w:b/>
          <w:color w:val="9E2428"/>
          <w:kern w:val="0"/>
          <w:sz w:val="28"/>
          <w:szCs w:val="28"/>
        </w:rPr>
        <w:t>高端论坛</w:t>
      </w:r>
      <w:r>
        <w:rPr>
          <w:rFonts w:hint="eastAsia"/>
          <w:sz w:val="24"/>
          <w:szCs w:val="24"/>
        </w:rPr>
        <w:t>：每年组织大型论坛，为同学们打造高质量，高层次的学习交流圈。</w:t>
      </w:r>
    </w:p>
    <w:p>
      <w:pPr>
        <w:spacing w:line="360" w:lineRule="auto"/>
        <w:jc w:val="left"/>
        <w:rPr>
          <w:color w:val="9E2428"/>
          <w:sz w:val="24"/>
          <w:szCs w:val="24"/>
        </w:rPr>
      </w:pPr>
    </w:p>
    <w:p>
      <w:pPr>
        <w:spacing w:line="360" w:lineRule="auto"/>
        <w:jc w:val="left"/>
        <w:rPr>
          <w:color w:val="9E2428"/>
          <w:sz w:val="24"/>
          <w:szCs w:val="24"/>
        </w:rPr>
      </w:pPr>
    </w:p>
    <w:p>
      <w:pPr>
        <w:spacing w:line="360" w:lineRule="auto"/>
        <w:jc w:val="left"/>
        <w:rPr>
          <w:color w:val="9E2428"/>
          <w:sz w:val="24"/>
          <w:szCs w:val="24"/>
        </w:rPr>
      </w:pPr>
      <w:r>
        <w:rPr>
          <w:color w:val="9E2428"/>
          <w:sz w:val="24"/>
          <w:szCs w:val="24"/>
        </w:rPr>
        <w:drawing>
          <wp:anchor distT="0" distB="0" distL="114300" distR="114300" simplePos="0" relativeHeight="251677696" behindDoc="0" locked="0" layoutInCell="1" allowOverlap="1">
            <wp:simplePos x="0" y="0"/>
            <wp:positionH relativeFrom="column">
              <wp:posOffset>3547110</wp:posOffset>
            </wp:positionH>
            <wp:positionV relativeFrom="paragraph">
              <wp:posOffset>21590</wp:posOffset>
            </wp:positionV>
            <wp:extent cx="2308225" cy="149606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0" cstate="print"/>
                    <a:srcRect/>
                    <a:stretch>
                      <a:fillRect/>
                    </a:stretch>
                  </pic:blipFill>
                  <pic:spPr>
                    <a:xfrm>
                      <a:off x="0" y="0"/>
                      <a:ext cx="2308225" cy="1496060"/>
                    </a:xfrm>
                    <a:prstGeom prst="rect">
                      <a:avLst/>
                    </a:prstGeom>
                    <a:noFill/>
                    <a:ln w="9525">
                      <a:noFill/>
                      <a:miter lim="800000"/>
                      <a:headEnd/>
                      <a:tailEnd/>
                    </a:ln>
                  </pic:spPr>
                </pic:pic>
              </a:graphicData>
            </a:graphic>
          </wp:anchor>
        </w:drawing>
      </w:r>
    </w:p>
    <w:p>
      <w:pPr>
        <w:spacing w:line="360" w:lineRule="auto"/>
        <w:jc w:val="left"/>
        <w:rPr>
          <w:sz w:val="24"/>
          <w:szCs w:val="24"/>
        </w:rPr>
      </w:pPr>
      <w:r>
        <w:rPr>
          <w:rFonts w:hint="eastAsia" w:ascii="宋体" w:hAnsi="宋体" w:cs="宋体"/>
          <w:b/>
          <w:color w:val="9E2428"/>
          <w:sz w:val="28"/>
          <w:szCs w:val="28"/>
        </w:rPr>
        <w:t>● 整合人脉:</w:t>
      </w:r>
      <w:r>
        <w:rPr>
          <w:rFonts w:hint="eastAsia"/>
          <w:sz w:val="24"/>
          <w:szCs w:val="24"/>
        </w:rPr>
        <w:t>同学联谊会，打造最具活力、契合点的同学经济体，整合全国各地精英同学资源，终身受益。</w:t>
      </w:r>
    </w:p>
    <w:p>
      <w:pPr>
        <w:spacing w:line="360" w:lineRule="auto"/>
        <w:jc w:val="left"/>
        <w:rPr>
          <w:sz w:val="24"/>
          <w:szCs w:val="24"/>
        </w:rPr>
      </w:pPr>
      <w:r>
        <w:rPr>
          <w:sz w:val="24"/>
          <w:szCs w:val="24"/>
        </w:rPr>
        <w:drawing>
          <wp:anchor distT="0" distB="0" distL="114300" distR="114300" simplePos="0" relativeHeight="251676672" behindDoc="0" locked="0" layoutInCell="1" allowOverlap="1">
            <wp:simplePos x="0" y="0"/>
            <wp:positionH relativeFrom="column">
              <wp:posOffset>12700</wp:posOffset>
            </wp:positionH>
            <wp:positionV relativeFrom="paragraph">
              <wp:posOffset>56515</wp:posOffset>
            </wp:positionV>
            <wp:extent cx="2357120" cy="1503680"/>
            <wp:effectExtent l="19050" t="0" r="508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2" cstate="print"/>
                    <a:srcRect/>
                    <a:stretch>
                      <a:fillRect/>
                    </a:stretch>
                  </pic:blipFill>
                  <pic:spPr>
                    <a:xfrm>
                      <a:off x="0" y="0"/>
                      <a:ext cx="2357120" cy="1503680"/>
                    </a:xfrm>
                    <a:prstGeom prst="rect">
                      <a:avLst/>
                    </a:prstGeom>
                    <a:noFill/>
                    <a:ln w="9525">
                      <a:noFill/>
                      <a:miter lim="800000"/>
                      <a:headEnd/>
                      <a:tailEnd/>
                    </a:ln>
                  </pic:spPr>
                </pic:pic>
              </a:graphicData>
            </a:graphic>
          </wp:anchor>
        </w:drawing>
      </w:r>
    </w:p>
    <w:p>
      <w:pPr>
        <w:spacing w:line="360" w:lineRule="auto"/>
        <w:jc w:val="left"/>
        <w:rPr>
          <w:sz w:val="24"/>
          <w:szCs w:val="24"/>
        </w:rPr>
      </w:pPr>
    </w:p>
    <w:p>
      <w:pPr>
        <w:spacing w:line="360" w:lineRule="auto"/>
        <w:jc w:val="left"/>
        <w:rPr>
          <w:sz w:val="24"/>
          <w:szCs w:val="24"/>
        </w:rPr>
      </w:pPr>
      <w:r>
        <w:rPr>
          <w:rFonts w:hint="eastAsia" w:ascii="宋体" w:hAnsi="宋体" w:cs="宋体"/>
          <w:b/>
          <w:color w:val="9E2428"/>
          <w:sz w:val="28"/>
          <w:szCs w:val="28"/>
        </w:rPr>
        <w:t>● 重在</w:t>
      </w:r>
      <w:r>
        <w:rPr>
          <w:rFonts w:hint="eastAsia" w:ascii="宋体" w:hAnsi="宋体" w:cs="宋体"/>
          <w:b/>
          <w:color w:val="9E2428"/>
          <w:kern w:val="0"/>
          <w:sz w:val="28"/>
          <w:szCs w:val="28"/>
        </w:rPr>
        <w:t>体验</w:t>
      </w:r>
      <w:r>
        <w:rPr>
          <w:rFonts w:hint="eastAsia"/>
          <w:sz w:val="24"/>
          <w:szCs w:val="24"/>
        </w:rPr>
        <w:t>：组织丰富多彩的游学活动和第二课堂，为同学们带来不一样的传统文化体验。</w:t>
      </w:r>
    </w:p>
    <w:p>
      <w:pPr>
        <w:spacing w:line="360" w:lineRule="auto"/>
        <w:jc w:val="left"/>
        <w:rPr>
          <w:sz w:val="24"/>
          <w:szCs w:val="24"/>
        </w:rPr>
      </w:pPr>
    </w:p>
    <w:p>
      <w:pPr>
        <w:pStyle w:val="18"/>
        <w:spacing w:after="156" w:line="300" w:lineRule="auto"/>
        <w:jc w:val="left"/>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13" o:spid="_x0000_s1042" o:spt="1" style="position:absolute;left:0pt;margin-left:101.7pt;margin-top:7.65pt;height:15.6pt;width:368.5pt;z-index:251665408;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▍课程设置</w:t>
      </w:r>
    </w:p>
    <w:tbl>
      <w:tblPr>
        <w:tblStyle w:val="15"/>
        <w:tblW w:w="93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34"/>
        <w:gridCol w:w="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第一篇章：儒学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20"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1</w:t>
            </w:r>
            <w:r>
              <w:rPr>
                <w:rFonts w:hint="eastAsia" w:ascii="Calibri" w:hAnsi="Calibri" w:cs="宋体"/>
                <w:b/>
                <w:kern w:val="2"/>
                <w:sz w:val="21"/>
                <w:szCs w:val="22"/>
              </w:rPr>
              <w:t>、主题：儒家思想的传承及发展</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至圣孔子修《诗》《书》，定《礼》《乐》，序《周易》，留《论语》，著《春秋》，奠定了儒家思想的基本内涵。亚圣孟子对其思想进行了传承，主张德治，提出了仁政、王道、民贵君轻的观点。</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汉代实行的“罢黜百家，独尊儒术”政策，把儒家思想推上了顶峰，至魏晋时期儒家思想与玄学融合发展为魏晋玄学。面对佛教与道教的冲击，儒家思想在宋明时期进一步发展，提出“理”先于天地而存在，主张“即物而穷理”，形成了宋明理学，影响至今。</w:t>
            </w:r>
          </w:p>
        </w:tc>
        <w:tc>
          <w:tcPr>
            <w:tcW w:w="4567"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2</w:t>
            </w:r>
            <w:r>
              <w:rPr>
                <w:rFonts w:hint="eastAsia" w:ascii="Calibri" w:hAnsi="Calibri" w:cs="宋体"/>
                <w:b/>
                <w:kern w:val="2"/>
                <w:sz w:val="21"/>
                <w:szCs w:val="22"/>
              </w:rPr>
              <w:t>、主题：《四书》《五经》儒家经典赏析</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大学》中国历史上最系统的政治哲学、大人之学；《论语》集中体现了孔子的政治主张、伦理思想、道德观念及教育原则等；中庸之道可开启治天下之门；《孟子》现恢弘浩阔之气、纵横雄辩之辞。《诗经》为古代社会的人生百科全书；《尚书》阐明仁君治民、贤臣事君之道；《周礼》定中国礼仪之邦；《春秋》现微言大义，《易经》为群经之首，大道之源。四书五经所载为官从政之道、为人处世之道对现代人仍具有积极意义和极强的参考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20"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3</w:t>
            </w:r>
            <w:r>
              <w:rPr>
                <w:rFonts w:hint="eastAsia" w:ascii="Calibri" w:hAnsi="Calibri" w:cs="宋体"/>
                <w:b/>
                <w:kern w:val="2"/>
                <w:sz w:val="21"/>
                <w:szCs w:val="22"/>
              </w:rPr>
              <w:t>、主题：儒家思想对现代社会的影响</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以治平为本，以仁为核，以和为贵，儒家的思想是中华民族精神的源头活水，构成了中华文化的基本精神价值，对现代社会仍有重大指导意义。</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君子以自强不息激励着个人、企业乃至国家不断进取；因材施教、教学相长对现代教育仍有很大指导意义；天人合一、以和为贵有利于和谐社会的构建；求同存异、和平共处等五项基本原则正是对孔子“忠恕”、“和而不同”等思想的继承与发展；儒商群体的传承与发展正是孔子思想在现代经济生活中的创造性运用。</w:t>
            </w:r>
          </w:p>
        </w:tc>
        <w:tc>
          <w:tcPr>
            <w:tcW w:w="4567"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pPr>
            <w:r>
              <w:rPr>
                <w:rFonts w:ascii="Calibri" w:hAnsi="Calibri"/>
                <w:b/>
                <w:kern w:val="2"/>
                <w:sz w:val="21"/>
                <w:szCs w:val="22"/>
              </w:rPr>
              <w:t>4</w:t>
            </w:r>
            <w:r>
              <w:rPr>
                <w:rFonts w:hint="eastAsia" w:ascii="Calibri" w:hAnsi="Calibri" w:cs="宋体"/>
                <w:b/>
                <w:kern w:val="2"/>
                <w:sz w:val="21"/>
                <w:szCs w:val="22"/>
              </w:rPr>
              <w:t>、格物、致知、诚意、正心、修身、齐家、治国、平天下与现代企业管理</w:t>
            </w:r>
          </w:p>
          <w:p>
            <w:pPr>
              <w:pStyle w:val="9"/>
              <w:widowControl w:val="0"/>
              <w:spacing w:before="0" w:beforeAutospacing="0" w:after="0" w:afterAutospacing="0" w:line="276" w:lineRule="auto"/>
              <w:ind w:firstLine="457" w:firstLineChars="218"/>
              <w:jc w:val="both"/>
            </w:pPr>
            <w:r>
              <w:rPr>
                <w:rFonts w:hint="eastAsia" w:ascii="Calibri" w:hAnsi="Calibri" w:cs="宋体"/>
                <w:kern w:val="2"/>
                <w:sz w:val="21"/>
                <w:szCs w:val="22"/>
              </w:rPr>
              <w:t>儒家的“格物、致知、诚意、正心、修身、齐家、治国、平天下”一直以来对中国领导者的思想、灵魂上产生并依然产生着重要影响。正是这一理念指引下的领导者与管理者的培养和自我培养，造就了中国社会主体领导者的儒官、儒商群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在现今的社会背景、经济形势下，企业家要丰富和发展自己的内心与人生，达到格物、致知、诚意之境，能修身有成、齐家有余，进而有能力兼济天下，超越自我，领受心灵的欢乐与平和。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第二篇章：佛学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1</w:t>
            </w:r>
            <w:r>
              <w:rPr>
                <w:rFonts w:hint="eastAsia" w:ascii="Calibri" w:hAnsi="Calibri" w:cs="宋体"/>
                <w:b/>
                <w:kern w:val="2"/>
                <w:sz w:val="21"/>
                <w:szCs w:val="22"/>
              </w:rPr>
              <w:t>、主题：体悟佛法的智慧《金刚经》《心经》精读</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精深、圆融的佛法思想，打开了我们的思路，拓展了我们的思维空间。通过课程的学习，体会佛学要义，掌握佛学精髓；激发生命潜能，开启智慧之门。</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《金刚经》、《心经》作为佛教的经典，心法之集大成者，为一切凡圣悟心之法门，是修心的指南，开悟的钥匙；心法即佛法，见心即见佛；只有修其心，方能行其道。得道者，大彻大悟，超然凡生。</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2</w:t>
            </w:r>
            <w:r>
              <w:rPr>
                <w:rFonts w:hint="eastAsia" w:ascii="Calibri" w:hAnsi="Calibri" w:cs="宋体"/>
                <w:b/>
                <w:kern w:val="2"/>
                <w:sz w:val="21"/>
                <w:szCs w:val="22"/>
              </w:rPr>
              <w:t>、主题：禅宗智慧与心灵修炼</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禅是智慧的、安定的、清净的，通过对禅的修炼，使人的心态升华到万物归零，以静制动，从容处事。当今社会喧嚣、浮躁，人之欲望无限，欲而不得，则怨愤日生，痛苦日盛，心灵疲惫，苦度人生。</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若要走出困境，获得超脱，修禅不失为一个好的选择。特为精英人士提供简便易行的禅修方法，通过深度体验学习，使之掌握禅宗智慧精髓，由事业的成功走向人生的成功，由外在的辉煌走向内在的充实。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vAlign w:val="center"/>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第三篇章：道学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pPr>
            <w:r>
              <w:rPr>
                <w:rFonts w:ascii="Calibri" w:hAnsi="Calibri"/>
                <w:kern w:val="2"/>
                <w:sz w:val="21"/>
                <w:szCs w:val="22"/>
              </w:rPr>
              <w:t>1</w:t>
            </w:r>
            <w:r>
              <w:rPr>
                <w:rFonts w:hint="eastAsia" w:ascii="Calibri" w:hAnsi="Calibri" w:cs="宋体"/>
                <w:kern w:val="2"/>
                <w:sz w:val="21"/>
                <w:szCs w:val="22"/>
              </w:rPr>
              <w:t>、</w:t>
            </w:r>
            <w:r>
              <w:rPr>
                <w:rFonts w:hint="eastAsia" w:ascii="Calibri" w:hAnsi="Calibri" w:cs="宋体"/>
                <w:b/>
                <w:kern w:val="2"/>
                <w:sz w:val="21"/>
                <w:szCs w:val="22"/>
              </w:rPr>
              <w:t>主题：道家的思想精髓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人法地，地法天，天法道，道法自然”，顺应自然，不要过于刻意。“人之道，为而不争”，处世要平和、宽容、自然。“清静为天下正”，处无为之事，行无言之道。道即是虚，虚心方能容物，虚心方能容人，清除心中种种妄念即是快乐。“祸兮福之所倚，福兮祸之所伏”，自然是阴阳对立统一的。“大勇若怯，大智若愚”该智则智，不该智则不智，有所智有所不智。</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pPr>
            <w:r>
              <w:rPr>
                <w:rFonts w:ascii="Calibri" w:hAnsi="Calibri"/>
                <w:kern w:val="2"/>
                <w:sz w:val="21"/>
                <w:szCs w:val="22"/>
              </w:rPr>
              <w:t>2</w:t>
            </w:r>
            <w:r>
              <w:rPr>
                <w:rFonts w:hint="eastAsia" w:ascii="Calibri" w:hAnsi="Calibri" w:cs="宋体"/>
                <w:kern w:val="2"/>
                <w:sz w:val="21"/>
                <w:szCs w:val="22"/>
              </w:rPr>
              <w:t>、</w:t>
            </w:r>
            <w:r>
              <w:rPr>
                <w:rFonts w:hint="eastAsia" w:ascii="Calibri" w:hAnsi="Calibri" w:cs="宋体"/>
                <w:b/>
                <w:kern w:val="2"/>
                <w:sz w:val="21"/>
                <w:szCs w:val="22"/>
              </w:rPr>
              <w:t>主题：现代道商的兴起</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近年来在国内外出现了一批用道家思想管理经营企业的企业家，即与儒商、佛商并称的道商群体。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他们深刻体会了道家思想的真谛，“上善若水”，水的品格让道商心善如水；“无为”的信仰让他们更懂得无为当要“有为”；“与人为善”使他们与天下人为友；“祸兮福之所倚，福兮祸之所伏”的“对立统一”思想让他们懂得回馈于民；他们告诉自己君子用财“取之有道，用之有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第四篇章：易学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pPr>
            <w:r>
              <w:rPr>
                <w:rFonts w:ascii="Calibri" w:hAnsi="Calibri"/>
                <w:b/>
                <w:kern w:val="2"/>
                <w:sz w:val="21"/>
                <w:szCs w:val="22"/>
              </w:rPr>
              <w:t>1</w:t>
            </w:r>
            <w:r>
              <w:rPr>
                <w:rFonts w:hint="eastAsia" w:ascii="Calibri" w:hAnsi="Calibri" w:cs="宋体"/>
                <w:b/>
                <w:kern w:val="2"/>
                <w:sz w:val="21"/>
                <w:szCs w:val="22"/>
              </w:rPr>
              <w:t>、主题：群经之首《周易》精读</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周易》作为中国文化史上的群经之首，是中国思想的源头，华夏哲学的鼻祖，六艺之源，表达了中国传统文化的基本精神。精读《周易》，重在领悟它的思维方式，要仔细沉潜玩味，领悟易道的精神世界，确立新的生活方式。</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要学习“天人合一”、“天地人三才之道”、懂得“变易、不易、简易”的易学“三易”，“生生之谓易”“变动不居”的思想与内涵，掌握周易智慧中万物蕴涵的道。学懂周易就是获得了通权达变的高度人生智慧，拥有这种高度人生智慧，人才会应时因机适遇，创拓出最为真实而理想的人生德、业之辉煌。</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2</w:t>
            </w:r>
            <w:r>
              <w:rPr>
                <w:rFonts w:hint="eastAsia" w:ascii="Calibri" w:hAnsi="Calibri" w:cs="宋体"/>
                <w:b/>
                <w:kern w:val="2"/>
                <w:sz w:val="21"/>
                <w:szCs w:val="22"/>
              </w:rPr>
              <w:t>、主题：易经智慧与企业管理</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在一定意义上说《周易》本身即是一部管理学经典，企业管理者应该重视与研究《易经》，领悟中国管理智慧，把易经智慧与创新思维作为学习首选。</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天人合一”指导人们寻求事物间的和谐统一为旨趣，推动事物的和谐发展获得最佳管理效益；易经的变易原则指导建构开放的、生生不息的管理体系；阴阳互补强调分工合作，分合有序；“当位”、“中正”启示人们，充分挖掘、发挥每个人的潜能和智慧，真正做到人尽其才，物尽其用；注重中和均衡，消融矛盾，避免冲突；尊重义利关系，赏罚分明，合理分配；强调进修德业，为解决管理伦理指明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vAlign w:val="center"/>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第五篇章：史学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1</w:t>
            </w:r>
            <w:r>
              <w:rPr>
                <w:rFonts w:hint="eastAsia" w:ascii="Calibri" w:hAnsi="Calibri" w:cs="宋体"/>
                <w:b/>
                <w:kern w:val="2"/>
                <w:sz w:val="21"/>
                <w:szCs w:val="22"/>
              </w:rPr>
              <w:t>、主题：解析历代帝王助力现代企业</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解析帝王之道，明了杀伐决断之能，识人用人之明</w:t>
            </w:r>
            <w:r>
              <w:rPr>
                <w:rFonts w:ascii="Calibri" w:hAnsi="Calibri"/>
                <w:kern w:val="2"/>
                <w:sz w:val="21"/>
                <w:szCs w:val="22"/>
              </w:rPr>
              <w:t xml:space="preserve">, </w:t>
            </w:r>
            <w:r>
              <w:rPr>
                <w:rFonts w:hint="eastAsia" w:ascii="Calibri" w:hAnsi="Calibri" w:cs="宋体"/>
                <w:kern w:val="2"/>
                <w:sz w:val="21"/>
                <w:szCs w:val="22"/>
              </w:rPr>
              <w:t>刚柔并济之贤，如何成就千秋功业，万世明君。勾践卧薪尝胆，终率三千越甲吞吴复国；秦始皇杀伐决断，统一六国建无上功业；汉高祖起于草莽，借张良之谋，萧何之才，韩信之勇奠两汉基业；举贤良，明教化，连西域，击匈奴，汉武雄才大略造大汉盛世；唐宗宋祖创一朝盛世，影响百代；成吉思汗铁马金戈一统华夏；康熙千古一帝，在位六十载，终使满汉融合，四方来朝。</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纵观古之明君大帝，以史为鉴，借治国之道审视企业之管理，人才之任用，使企业立于世界之巅。</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2</w:t>
            </w:r>
            <w:r>
              <w:rPr>
                <w:rFonts w:hint="eastAsia" w:ascii="Calibri" w:hAnsi="Calibri" w:cs="宋体"/>
                <w:b/>
                <w:kern w:val="2"/>
                <w:sz w:val="21"/>
                <w:szCs w:val="22"/>
              </w:rPr>
              <w:t>、主题：治世之能臣乱世之枭雄—权臣篇</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出相入仕或为光宗耀祖或为兼济天下，是中国大多数文人的终极理想，然能脱颖而出者少。</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治世之能臣，乱世之枭雄，三分天下的曹操；性格刚直、才识超卓、敢于犯颜直谏的魏征；打龙袍、铡驸马，坐镇开封府的包拯；“先天下之忧而忧，后天下之乐而乐”的范仲淹；为皇上宠信之极，权势之大，清朝罕见的和绅；中兴名臣，平定太平天国之乱，集中国式智慧之大成的曾国藩。</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历史功过无论如何置评总是会有失偏颇，但能位极人臣，其谋人之法、谋事之道，均可为企业人事管理、权力运作等的源泉。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b/>
                <w:kern w:val="2"/>
                <w:sz w:val="21"/>
                <w:szCs w:val="22"/>
              </w:rPr>
              <w:t>3</w:t>
            </w:r>
            <w:r>
              <w:rPr>
                <w:rFonts w:hint="eastAsia" w:ascii="Calibri" w:hAnsi="Calibri" w:cs="宋体"/>
                <w:b/>
                <w:kern w:val="2"/>
                <w:sz w:val="21"/>
                <w:szCs w:val="22"/>
              </w:rPr>
              <w:t>、主题：品名士风流体悟内心真谛</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真名士，自风流。魏晋名士作为中国历史上特殊的一个族群，风流不羁，不拘小节，放浪形骸，追求自我。有不为五斗米折腰，采菊东篱下悠然见南山的陶渊明。虽家贫，仍励志勤学，文学、玄学、音乐等无不博通，临刑仍奏广陵散的嵇康；有春秋时期高山流水遇知音、绝弦断琴的伯牙子期。</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不是人人都有勇气挑战社会，也未必所有人都要避世隐居，但如何在繁杂的社会中保持自己的独特性，寻找到内心的真我，体悟到人生的真谛乃是我们所追求的。</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cs="宋体"/>
                <w:b/>
                <w:kern w:val="2"/>
                <w:sz w:val="21"/>
                <w:szCs w:val="22"/>
              </w:rPr>
              <w:t>4、主题：学古今名商巨贾习致富之道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虽中华自古重农抑商，然历朝历代均有富商巨贾，这些人或富甲天下或以商从政。前有商人鼻祖，携美游湖的陶朱公范蠡；后有奇货可居，一字千金的吕不韦；既有与王恺斗富的石崇；更有与明太祖朱元璋共筑南京城的沈万三；远有白手起家终成红顶商人的胡雪岩；近有当今社会的知名商人、成功典范。</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通过研究国学，我们要学习他们在中国特有的文化与制度下经商致富之道，同时也要分析他们中的某些人的覆亡之因，引以为鉴。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387" w:type="dxa"/>
            <w:gridSpan w:val="3"/>
            <w:tcBorders>
              <w:top w:val="single" w:color="auto" w:sz="4" w:space="0"/>
              <w:left w:val="single" w:color="auto" w:sz="4" w:space="0"/>
              <w:bottom w:val="single" w:color="auto" w:sz="4" w:space="0"/>
              <w:right w:val="single" w:color="auto" w:sz="4" w:space="0"/>
            </w:tcBorders>
            <w:shd w:val="clear" w:color="auto" w:fill="9E2428"/>
            <w:vAlign w:val="center"/>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第六篇章：兵学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cs="宋体"/>
                <w:b/>
                <w:kern w:val="2"/>
                <w:sz w:val="21"/>
                <w:szCs w:val="22"/>
              </w:rPr>
              <w:t>1、主题：孙子兵法与统帅之道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兵者，诡道也”，商场如战场，都存在着众多的不确定因素，时势变化多端，机遇和挑战复杂多变。《孙子兵法》作为天下第一奇书，百家兵法之始祖。当《孙子兵法》对应到企业经营时，得天独厚的超级战略、决战经典，成为企业界不可或缺的商战参谋。</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cs="宋体"/>
                <w:b/>
                <w:kern w:val="2"/>
                <w:sz w:val="21"/>
                <w:szCs w:val="22"/>
              </w:rPr>
              <w:t>2、主题：毛泽东领军之道</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人民解放军的成长发展在人类军事史、管理史上都堪称奇迹。不足千人的队伍，在短短</w:t>
            </w:r>
            <w:r>
              <w:rPr>
                <w:rFonts w:hint="eastAsia" w:ascii="Calibri" w:hAnsi="Calibri"/>
                <w:kern w:val="2"/>
                <w:sz w:val="21"/>
                <w:szCs w:val="22"/>
              </w:rPr>
              <w:t>二十几</w:t>
            </w:r>
            <w:r>
              <w:rPr>
                <w:rFonts w:hint="eastAsia" w:ascii="Calibri" w:hAnsi="Calibri" w:cs="宋体"/>
                <w:kern w:val="2"/>
                <w:sz w:val="21"/>
                <w:szCs w:val="22"/>
              </w:rPr>
              <w:t>年间，发展成为雄视天下、无坚不摧的数百万大军，统一全国。　　</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毛泽东的领军之道从当前企业普遍遇到的难题入手，借鉴建军之初毛主席遇到过类似困难如何解决的成功经验，给企业管理者以有益的启示。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vAlign w:val="center"/>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第七篇章：养生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1</w:t>
            </w:r>
            <w:r>
              <w:rPr>
                <w:rFonts w:hint="eastAsia" w:ascii="Calibri" w:hAnsi="Calibri" w:cs="宋体"/>
                <w:b/>
                <w:kern w:val="2"/>
                <w:sz w:val="21"/>
                <w:szCs w:val="22"/>
              </w:rPr>
              <w:t>、主题：《黄帝内经》与现代养生之法</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黄帝内经》是国学瑰宝，是我国最早、地位最高的中医巨著，其养生之道是顺其自然，以天地人三位为一体，符合生命规律的养生方法和理论。课程将告诉我们如何效法古代先人合理的养生方法，在日常生活中改掉导致我们身体衰弱的坏习惯，建立起良好的、符合我们生命本性的生活习惯，不断增强自身体质和保持良好的精神气质，使企业家们更加精力充沛地处理企业事务。</w:t>
            </w:r>
          </w:p>
        </w:tc>
        <w:tc>
          <w:tcPr>
            <w:tcW w:w="4601"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ascii="Calibri" w:hAnsi="Calibri"/>
                <w:b/>
                <w:kern w:val="2"/>
                <w:sz w:val="21"/>
                <w:szCs w:val="22"/>
              </w:rPr>
              <w:t>2</w:t>
            </w:r>
            <w:r>
              <w:rPr>
                <w:rFonts w:hint="eastAsia" w:ascii="Calibri" w:hAnsi="Calibri" w:cs="宋体"/>
                <w:b/>
                <w:kern w:val="2"/>
                <w:sz w:val="21"/>
                <w:szCs w:val="22"/>
              </w:rPr>
              <w:t>、主题：养生先养德大德必高寿—儒释道与养生</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早在春秋时，孔子就有“大德必得其寿”之说。到今天，德高寿自长的理论已经得到实践证明。养生先养德，养德“不劳主顾，不费药金，不劳煎煮”，却可祛病健身，延年益寿。</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儒、释、道三家在很多方面均不同，可有一点殊途同归，都强调养心重于养生。对喜欢养生保健的朋友来说不要学很多招数，如果你心不静，终日焦虑，则无论你吃多少药，学多少养生之法都没有用。万事万物不管怎么样，调整好自己的心态都是最好、最首选的养生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87" w:type="dxa"/>
            <w:gridSpan w:val="3"/>
            <w:tcBorders>
              <w:top w:val="single" w:color="auto" w:sz="4" w:space="0"/>
              <w:left w:val="single" w:color="auto" w:sz="4" w:space="0"/>
              <w:bottom w:val="single" w:color="auto" w:sz="4" w:space="0"/>
              <w:right w:val="single" w:color="auto" w:sz="4" w:space="0"/>
            </w:tcBorders>
            <w:shd w:val="clear" w:color="auto" w:fill="9E2428"/>
            <w:vAlign w:val="center"/>
          </w:tcPr>
          <w:p>
            <w:pPr>
              <w:pStyle w:val="9"/>
              <w:widowControl w:val="0"/>
              <w:spacing w:before="0" w:beforeAutospacing="0" w:after="0" w:afterAutospacing="0" w:line="276" w:lineRule="auto"/>
              <w:jc w:val="center"/>
              <w:rPr>
                <w:b/>
                <w:szCs w:val="24"/>
              </w:rPr>
            </w:pPr>
            <w:r>
              <w:rPr>
                <w:rFonts w:hint="eastAsia" w:ascii="Calibri" w:hAnsi="Calibri" w:cs="宋体"/>
                <w:b/>
                <w:color w:val="FFFFFF"/>
                <w:kern w:val="2"/>
                <w:szCs w:val="24"/>
              </w:rPr>
              <w:t>第八篇章：法家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20" w:type="dxa"/>
            <w:gridSpan w:val="2"/>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cs="宋体"/>
                <w:b/>
                <w:kern w:val="2"/>
                <w:sz w:val="21"/>
                <w:szCs w:val="22"/>
              </w:rPr>
              <w:t>1、主题：法家智慧与现代管理</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韩非子是战国末期法家集大成者，其著作《韩非子》一书，重点宣扬了法、术、势相结合的法治理论，达到了先秦法家理论的最高峰，为秦统一六国提供了理论武器，也为以后的封建专制制度提供了理论根据。</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韩非子的“法”思想为我们提供企业制度建设之道；“术”思想，为我们提供了制度执行之道；“势”思想，对我们形成卓越的领导风格提供了借鉴。通过精讲《韩非子》等法家名著，把握法家强调制度、权威与技巧的法、势、术的管理思想，以强化组织的统御与控制能力，增强企业的竞争力。</w:t>
            </w:r>
          </w:p>
        </w:tc>
        <w:tc>
          <w:tcPr>
            <w:tcW w:w="4567" w:type="dxa"/>
            <w:tcBorders>
              <w:top w:val="single" w:color="auto" w:sz="4" w:space="0"/>
              <w:left w:val="single" w:color="auto" w:sz="4" w:space="0"/>
              <w:bottom w:val="single" w:color="auto" w:sz="4" w:space="0"/>
              <w:right w:val="single" w:color="auto" w:sz="4" w:space="0"/>
            </w:tcBorders>
          </w:tcPr>
          <w:p>
            <w:pPr>
              <w:pStyle w:val="9"/>
              <w:widowControl w:val="0"/>
              <w:spacing w:before="0" w:beforeAutospacing="0" w:after="0" w:afterAutospacing="0" w:line="276" w:lineRule="auto"/>
              <w:jc w:val="both"/>
              <w:rPr>
                <w:b/>
              </w:rPr>
            </w:pPr>
            <w:r>
              <w:rPr>
                <w:rFonts w:hint="eastAsia" w:ascii="Calibri" w:hAnsi="Calibri" w:cs="宋体"/>
                <w:b/>
                <w:kern w:val="2"/>
                <w:sz w:val="21"/>
                <w:szCs w:val="22"/>
              </w:rPr>
              <w:t>2、主题：先秦法家与现代法治</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韩非子的法家思想更多的是一种政治构建，他所提出的法、术、势相结合的体系，将君主利益置于核心地位，追求的是“王法”。君主是最大既得利益者，各级贵族官僚按等级也能分得相应利益，平民得到的也几乎只有义务。</w:t>
            </w:r>
          </w:p>
          <w:p>
            <w:pPr>
              <w:pStyle w:val="9"/>
              <w:widowControl w:val="0"/>
              <w:spacing w:before="0" w:beforeAutospacing="0" w:after="0" w:afterAutospacing="0" w:line="276" w:lineRule="auto"/>
              <w:ind w:firstLine="420" w:firstLineChars="200"/>
              <w:jc w:val="both"/>
            </w:pPr>
            <w:r>
              <w:rPr>
                <w:rFonts w:hint="eastAsia" w:ascii="Calibri" w:hAnsi="Calibri" w:cs="宋体"/>
                <w:kern w:val="2"/>
                <w:sz w:val="21"/>
                <w:szCs w:val="22"/>
              </w:rPr>
              <w:t>现代法治精神其普世价值是人人平等，意在用法律保护公民，用宪政法制来约束统治者的权力，追求民主法治。当今中国提倡以法治国，但这将是一个长期的艰巨的过程，在建设法治社会过程中也存在诸多困境。如何走出这些困境，如何在当前形势下顺应形势、把握政策，将是我们关注的问题。</w:t>
            </w:r>
          </w:p>
        </w:tc>
      </w:tr>
    </w:tbl>
    <w:p>
      <w:pPr>
        <w:rPr>
          <w:rFonts w:ascii="宋体" w:hAnsi="宋体" w:cs="宋体"/>
          <w:b/>
          <w:bCs/>
          <w:color w:val="800000"/>
          <w:sz w:val="18"/>
          <w:szCs w:val="18"/>
        </w:rPr>
      </w:pPr>
    </w:p>
    <w:p>
      <w:pPr>
        <w:rPr>
          <w:rFonts w:cs="宋体"/>
          <w:b/>
          <w:color w:val="9E2428"/>
          <w:sz w:val="24"/>
          <w:szCs w:val="24"/>
        </w:rPr>
      </w:pPr>
      <w:r>
        <w:rPr>
          <w:rFonts w:ascii="宋体" w:hAnsi="宋体" w:cs="宋体"/>
          <w:b/>
          <w:color w:val="9E2428"/>
          <w:sz w:val="32"/>
          <w:szCs w:val="32"/>
        </w:rPr>
        <w:pict>
          <v:rect id="Rectangle 14" o:spid="_x0000_s1043" o:spt="1" style="position:absolute;left:0pt;margin-left:105.1pt;margin-top:7.8pt;height:15.6pt;width:364.5pt;z-index:251666432;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宋体" w:hAnsi="宋体" w:cs="宋体"/>
          <w:b/>
          <w:color w:val="9E2428"/>
          <w:sz w:val="32"/>
          <w:szCs w:val="32"/>
        </w:rPr>
        <w:t>▍顾问与师资</w:t>
      </w:r>
    </w:p>
    <w:p>
      <w:pPr>
        <w:spacing w:line="360" w:lineRule="auto"/>
        <w:rPr>
          <w:b/>
          <w:szCs w:val="21"/>
        </w:rPr>
      </w:pPr>
      <w:r>
        <w:rPr>
          <w:rFonts w:hint="eastAsia"/>
          <w:b/>
          <w:szCs w:val="21"/>
        </w:rPr>
        <w:t>程郁缀：</w:t>
      </w:r>
      <w:r>
        <w:rPr>
          <w:rFonts w:hint="eastAsia"/>
          <w:szCs w:val="21"/>
        </w:rPr>
        <w:t>中文系教授、博士生导师，曾任社会科学部部长。</w:t>
      </w:r>
    </w:p>
    <w:p>
      <w:pPr>
        <w:spacing w:line="360" w:lineRule="auto"/>
        <w:rPr>
          <w:szCs w:val="21"/>
        </w:rPr>
      </w:pPr>
      <w:r>
        <w:rPr>
          <w:rFonts w:hint="eastAsia"/>
          <w:b/>
          <w:szCs w:val="21"/>
        </w:rPr>
        <w:t>吕  艺：</w:t>
      </w:r>
      <w:r>
        <w:rPr>
          <w:rFonts w:hint="eastAsia"/>
          <w:szCs w:val="21"/>
        </w:rPr>
        <w:t>新闻与传播学院新闻系主任、教授，中文系博士。</w:t>
      </w:r>
    </w:p>
    <w:p>
      <w:pPr>
        <w:spacing w:line="360" w:lineRule="auto"/>
        <w:rPr>
          <w:szCs w:val="21"/>
        </w:rPr>
      </w:pPr>
      <w:r>
        <w:rPr>
          <w:rFonts w:hint="eastAsia"/>
          <w:b/>
          <w:szCs w:val="21"/>
        </w:rPr>
        <w:t>李四龙：</w:t>
      </w:r>
      <w:r>
        <w:rPr>
          <w:rFonts w:hint="eastAsia"/>
          <w:szCs w:val="21"/>
        </w:rPr>
        <w:t>哲学、宗教学系教授；研究领域：中国佛教史、佛教哲学、比较宗教学。</w:t>
      </w:r>
    </w:p>
    <w:p>
      <w:pPr>
        <w:spacing w:line="360" w:lineRule="auto"/>
        <w:rPr>
          <w:b/>
          <w:szCs w:val="21"/>
        </w:rPr>
      </w:pPr>
      <w:r>
        <w:rPr>
          <w:rFonts w:hint="eastAsia"/>
          <w:b/>
          <w:szCs w:val="21"/>
        </w:rPr>
        <w:t>丁一川：</w:t>
      </w:r>
      <w:r>
        <w:rPr>
          <w:rFonts w:hint="eastAsia"/>
          <w:szCs w:val="21"/>
        </w:rPr>
        <w:t>历史学系中国古代史讲师，中古史研究中心、东北亚研究所兼职研究员。</w:t>
      </w:r>
    </w:p>
    <w:p>
      <w:pPr>
        <w:spacing w:line="360" w:lineRule="auto"/>
        <w:ind w:left="843" w:hanging="840" w:hangingChars="400"/>
        <w:rPr>
          <w:szCs w:val="21"/>
        </w:rPr>
      </w:pPr>
      <w:r>
        <w:rPr>
          <w:rFonts w:hint="eastAsia"/>
          <w:b/>
          <w:szCs w:val="21"/>
        </w:rPr>
        <w:t>方尔加：</w:t>
      </w:r>
      <w:r>
        <w:rPr>
          <w:rFonts w:hint="eastAsia"/>
          <w:szCs w:val="21"/>
        </w:rPr>
        <w:t>中国政法大学人文学院教授。集儒、道、法于一身，融古今中外为一体。</w:t>
      </w:r>
    </w:p>
    <w:p>
      <w:pPr>
        <w:spacing w:line="360" w:lineRule="auto"/>
        <w:ind w:left="843" w:hanging="840" w:hangingChars="400"/>
        <w:rPr>
          <w:szCs w:val="21"/>
        </w:rPr>
      </w:pPr>
      <w:r>
        <w:rPr>
          <w:rFonts w:hint="eastAsia"/>
          <w:b/>
          <w:szCs w:val="21"/>
        </w:rPr>
        <w:t>赵世民：</w:t>
      </w:r>
      <w:r>
        <w:rPr>
          <w:rFonts w:hint="eastAsia"/>
          <w:szCs w:val="21"/>
        </w:rPr>
        <w:t>中央音乐学院教授，国内音乐养生第一人，汉字基因学创始人。中央电视台《百家讲坛》主讲专家，美国哥伦比亚大学《文化中国》主讲专家。</w:t>
      </w:r>
    </w:p>
    <w:p>
      <w:pPr>
        <w:spacing w:line="360" w:lineRule="auto"/>
        <w:ind w:left="843" w:hanging="840" w:hangingChars="400"/>
        <w:rPr>
          <w:szCs w:val="21"/>
        </w:rPr>
      </w:pPr>
      <w:r>
        <w:rPr>
          <w:rFonts w:hint="eastAsia"/>
          <w:b/>
          <w:szCs w:val="21"/>
        </w:rPr>
        <w:t>张松辉：</w:t>
      </w:r>
      <w:r>
        <w:rPr>
          <w:szCs w:val="21"/>
        </w:rPr>
        <w:t>文学硕士学位和哲学博士学位，</w:t>
      </w:r>
      <w:r>
        <w:rPr>
          <w:rFonts w:hint="eastAsia"/>
          <w:szCs w:val="21"/>
        </w:rPr>
        <w:t>湖南大学</w:t>
      </w:r>
      <w:r>
        <w:rPr>
          <w:szCs w:val="21"/>
        </w:rPr>
        <w:t>教授，博士生导师。主要从事中国思想史（研究方向以道家道教为主），中国文学史（先秦——南北朝时期）教学科研工作。</w:t>
      </w:r>
    </w:p>
    <w:p>
      <w:pPr>
        <w:spacing w:line="360" w:lineRule="auto"/>
        <w:rPr>
          <w:szCs w:val="21"/>
        </w:rPr>
      </w:pPr>
      <w:r>
        <w:rPr>
          <w:rFonts w:hint="eastAsia"/>
          <w:b/>
          <w:szCs w:val="21"/>
        </w:rPr>
        <w:t>王晓毅：</w:t>
      </w:r>
      <w:r>
        <w:rPr>
          <w:rFonts w:hint="eastAsia"/>
          <w:szCs w:val="21"/>
        </w:rPr>
        <w:t>清华大学历史系教授、博士生导师。长期致力于中国古代思想史，特别是魏晋思想史研究。</w:t>
      </w:r>
    </w:p>
    <w:p>
      <w:pPr>
        <w:spacing w:line="360" w:lineRule="auto"/>
        <w:ind w:left="843" w:hanging="840" w:hangingChars="400"/>
        <w:rPr>
          <w:b/>
          <w:szCs w:val="21"/>
        </w:rPr>
      </w:pPr>
      <w:r>
        <w:rPr>
          <w:rFonts w:hint="eastAsia"/>
          <w:b/>
          <w:szCs w:val="21"/>
        </w:rPr>
        <w:t>鲁洪生：</w:t>
      </w:r>
      <w:r>
        <w:rPr>
          <w:rFonts w:hint="eastAsia"/>
          <w:szCs w:val="21"/>
        </w:rPr>
        <w:t>首都师范大学文学院教授，博士生导师，中国诗经学会常务理事；主要从事中国先秦两汉文学、中国古代文学理论的教学与研究。</w:t>
      </w:r>
    </w:p>
    <w:p>
      <w:pPr>
        <w:spacing w:line="360" w:lineRule="auto"/>
        <w:rPr>
          <w:szCs w:val="21"/>
        </w:rPr>
      </w:pPr>
      <w:r>
        <w:rPr>
          <w:rFonts w:hint="eastAsia"/>
          <w:b/>
          <w:szCs w:val="21"/>
        </w:rPr>
        <w:t>何中华：</w:t>
      </w:r>
      <w:r>
        <w:rPr>
          <w:szCs w:val="21"/>
        </w:rPr>
        <w:t>山东大学哲学院教授、张岱年先生生前最赞赏的学者</w:t>
      </w:r>
      <w:r>
        <w:rPr>
          <w:rFonts w:hint="eastAsia"/>
          <w:szCs w:val="21"/>
        </w:rPr>
        <w:t>。</w:t>
      </w:r>
    </w:p>
    <w:p>
      <w:pPr>
        <w:spacing w:line="360" w:lineRule="auto"/>
        <w:rPr>
          <w:szCs w:val="21"/>
        </w:rPr>
      </w:pPr>
      <w:r>
        <w:rPr>
          <w:rFonts w:hint="eastAsia"/>
          <w:b/>
          <w:szCs w:val="21"/>
        </w:rPr>
        <w:t>谷振诣：</w:t>
      </w:r>
      <w:r>
        <w:rPr>
          <w:rFonts w:hint="eastAsia"/>
          <w:szCs w:val="21"/>
        </w:rPr>
        <w:t>中国青年政治学院教授，</w:t>
      </w:r>
      <w:r>
        <w:rPr>
          <w:szCs w:val="21"/>
        </w:rPr>
        <w:t>被誉为“中国批判性思维学科”第一人</w:t>
      </w:r>
      <w:r>
        <w:rPr>
          <w:rFonts w:hint="eastAsia"/>
          <w:szCs w:val="21"/>
        </w:rPr>
        <w:t>。</w:t>
      </w:r>
    </w:p>
    <w:p>
      <w:pPr>
        <w:spacing w:line="360" w:lineRule="auto"/>
        <w:rPr>
          <w:szCs w:val="21"/>
        </w:rPr>
      </w:pPr>
      <w:r>
        <w:rPr>
          <w:rFonts w:hint="eastAsia"/>
          <w:b/>
          <w:szCs w:val="21"/>
        </w:rPr>
        <w:t>李晓：</w:t>
      </w:r>
      <w:r>
        <w:rPr>
          <w:rFonts w:hint="eastAsia"/>
          <w:szCs w:val="21"/>
        </w:rPr>
        <w:t>中国政法大学商学院教授、博士生导师、副院长，中国商业史学会副会长。</w:t>
      </w:r>
    </w:p>
    <w:p>
      <w:pPr>
        <w:spacing w:line="360" w:lineRule="auto"/>
        <w:rPr>
          <w:szCs w:val="21"/>
        </w:rPr>
      </w:pPr>
      <w:r>
        <w:rPr>
          <w:rFonts w:hint="eastAsia"/>
          <w:b/>
          <w:szCs w:val="21"/>
        </w:rPr>
        <w:t>丁万明：</w:t>
      </w:r>
      <w:r>
        <w:rPr>
          <w:rFonts w:hint="eastAsia"/>
          <w:szCs w:val="21"/>
        </w:rPr>
        <w:t>国学客座教授，河北省委党校教授，中组部组工干部学院特聘教授。</w:t>
      </w:r>
    </w:p>
    <w:p>
      <w:pPr>
        <w:spacing w:line="360" w:lineRule="auto"/>
        <w:rPr>
          <w:szCs w:val="21"/>
        </w:rPr>
      </w:pPr>
      <w:r>
        <w:rPr>
          <w:rFonts w:hint="eastAsia"/>
          <w:b/>
          <w:szCs w:val="21"/>
        </w:rPr>
        <w:t>赵建国：</w:t>
      </w:r>
      <w:r>
        <w:rPr>
          <w:rFonts w:hint="eastAsia"/>
          <w:szCs w:val="21"/>
        </w:rPr>
        <w:t>天津中医药大学第一附属医院主任医师、教授、博士生导师，国务院特殊津贴专家。</w:t>
      </w:r>
    </w:p>
    <w:p>
      <w:pPr>
        <w:spacing w:line="276" w:lineRule="auto"/>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15" o:spid="_x0000_s1044" o:spt="1" style="position:absolute;left:0pt;margin-left:96.95pt;margin-top:8.95pt;height:15.6pt;width:368.5pt;z-index:251667456;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▍招生对象</w:t>
      </w:r>
    </w:p>
    <w:p>
      <w:pPr>
        <w:widowControl/>
        <w:spacing w:line="360" w:lineRule="auto"/>
        <w:rPr>
          <w:sz w:val="24"/>
          <w:szCs w:val="24"/>
        </w:rPr>
      </w:pPr>
      <w:r>
        <w:rPr>
          <w:rFonts w:ascii="宋体" w:hAnsi="宋体" w:cs="宋体"/>
          <w:b/>
          <w:color w:val="9E2428"/>
          <w:sz w:val="28"/>
          <w:szCs w:val="28"/>
        </w:rPr>
        <w:t xml:space="preserve">● </w:t>
      </w:r>
      <w:r>
        <w:rPr>
          <w:rFonts w:hint="eastAsia"/>
          <w:sz w:val="24"/>
          <w:szCs w:val="24"/>
        </w:rPr>
        <w:t>企业董事长、总经理等高层管理者</w:t>
      </w:r>
    </w:p>
    <w:p>
      <w:pPr>
        <w:pStyle w:val="17"/>
        <w:spacing w:line="240" w:lineRule="auto"/>
        <w:rPr>
          <w:rFonts w:hint="default" w:ascii="宋体" w:hAnsi="宋体" w:eastAsia="宋体"/>
          <w:kern w:val="0"/>
          <w:szCs w:val="24"/>
          <w:lang w:val="en-US"/>
        </w:rPr>
      </w:pPr>
    </w:p>
    <w:p>
      <w:pPr>
        <w:adjustRightInd w:val="0"/>
        <w:snapToGrid w:val="0"/>
        <w:spacing w:line="276" w:lineRule="auto"/>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16" o:spid="_x0000_s1045" o:spt="1" style="position:absolute;left:0pt;margin-left:97.7pt;margin-top:6.95pt;height:15.6pt;width:368.5pt;z-index:251668480;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▍课程时间</w:t>
      </w:r>
    </w:p>
    <w:p>
      <w:pPr>
        <w:spacing w:line="276" w:lineRule="auto"/>
        <w:rPr>
          <w:rFonts w:ascii="宋体" w:hAnsi="宋体"/>
          <w:sz w:val="24"/>
          <w:szCs w:val="24"/>
        </w:rPr>
      </w:pPr>
      <w:r>
        <w:rPr>
          <w:rFonts w:ascii="宋体" w:hAnsi="宋体" w:cs="宋体"/>
          <w:b/>
          <w:color w:val="9E2428"/>
          <w:sz w:val="28"/>
          <w:szCs w:val="28"/>
        </w:rPr>
        <w:t>●</w:t>
      </w:r>
      <w:r>
        <w:rPr>
          <w:rFonts w:hint="eastAsia" w:ascii="宋体" w:hAnsi="宋体"/>
          <w:sz w:val="24"/>
          <w:szCs w:val="24"/>
        </w:rPr>
        <w:t>学制</w:t>
      </w:r>
      <w:r>
        <w:rPr>
          <w:rFonts w:hint="eastAsia" w:ascii="宋体" w:hAnsi="宋体"/>
          <w:sz w:val="24"/>
          <w:szCs w:val="24"/>
          <w:lang w:val="en-US" w:eastAsia="zh-CN"/>
        </w:rPr>
        <w:t>15个月</w:t>
      </w:r>
      <w:r>
        <w:rPr>
          <w:rFonts w:hint="eastAsia" w:ascii="宋体" w:hAnsi="宋体"/>
          <w:sz w:val="24"/>
          <w:szCs w:val="24"/>
        </w:rPr>
        <w:t>（含寒暑假），分阶段授课，每</w:t>
      </w:r>
      <w:r>
        <w:rPr>
          <w:rFonts w:hint="eastAsia" w:ascii="宋体" w:hAnsi="宋体"/>
          <w:sz w:val="24"/>
          <w:szCs w:val="24"/>
          <w:lang w:eastAsia="zh-CN"/>
        </w:rPr>
        <w:t>两个</w:t>
      </w:r>
      <w:bookmarkStart w:id="2" w:name="_GoBack"/>
      <w:bookmarkEnd w:id="2"/>
      <w:r>
        <w:rPr>
          <w:rFonts w:hint="eastAsia" w:ascii="宋体" w:hAnsi="宋体"/>
          <w:sz w:val="24"/>
          <w:szCs w:val="24"/>
        </w:rPr>
        <w:t>月上课一次，每次集中授课</w:t>
      </w:r>
      <w:r>
        <w:rPr>
          <w:rFonts w:hint="eastAsia" w:ascii="宋体" w:hAnsi="宋体"/>
          <w:sz w:val="24"/>
          <w:szCs w:val="24"/>
          <w:lang w:val="en-US" w:eastAsia="zh-CN"/>
        </w:rPr>
        <w:t>2-</w:t>
      </w:r>
      <w:r>
        <w:rPr>
          <w:rFonts w:hint="eastAsia" w:ascii="宋体" w:hAnsi="宋体"/>
          <w:sz w:val="24"/>
          <w:szCs w:val="24"/>
        </w:rPr>
        <w:t>3</w:t>
      </w:r>
      <w:r>
        <w:rPr>
          <w:rFonts w:ascii="宋体" w:hAnsi="宋体"/>
          <w:sz w:val="24"/>
          <w:szCs w:val="24"/>
        </w:rPr>
        <w:t>天</w:t>
      </w:r>
      <w:r>
        <w:rPr>
          <w:rFonts w:hint="eastAsia" w:ascii="宋体" w:hAnsi="宋体"/>
          <w:sz w:val="24"/>
          <w:szCs w:val="24"/>
          <w:lang w:eastAsia="zh-CN"/>
        </w:rPr>
        <w:t>。</w:t>
      </w:r>
    </w:p>
    <w:p>
      <w:pPr>
        <w:tabs>
          <w:tab w:val="left" w:pos="2100"/>
        </w:tabs>
        <w:adjustRightInd w:val="0"/>
        <w:snapToGrid w:val="0"/>
        <w:spacing w:line="276" w:lineRule="auto"/>
        <w:rPr>
          <w:rFonts w:ascii="微软雅黑" w:hAnsi="微软雅黑" w:eastAsia="微软雅黑" w:cs="微软雅黑"/>
          <w:b/>
          <w:color w:val="800080"/>
          <w:sz w:val="32"/>
          <w:szCs w:val="32"/>
        </w:rPr>
      </w:pPr>
      <w:r>
        <w:rPr>
          <w:rFonts w:ascii="微软雅黑" w:hAnsi="微软雅黑" w:eastAsia="微软雅黑" w:cs="微软雅黑"/>
          <w:b/>
          <w:color w:val="9E2428"/>
          <w:sz w:val="32"/>
          <w:szCs w:val="32"/>
        </w:rPr>
        <w:pict>
          <v:rect id="Rectangle 17" o:spid="_x0000_s1046" o:spt="1" style="position:absolute;left:0pt;margin-left:99.2pt;margin-top:6.5pt;height:15.6pt;width:368.5pt;z-index:251669504;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▍学习费用</w:t>
      </w:r>
      <w:r>
        <w:rPr>
          <w:rFonts w:ascii="微软雅黑" w:hAnsi="微软雅黑" w:eastAsia="微软雅黑" w:cs="微软雅黑"/>
          <w:b/>
          <w:color w:val="800080"/>
          <w:sz w:val="32"/>
          <w:szCs w:val="32"/>
        </w:rPr>
        <w:tab/>
      </w:r>
    </w:p>
    <w:p>
      <w:pPr>
        <w:pStyle w:val="17"/>
        <w:numPr>
          <w:ilvl w:val="0"/>
          <w:numId w:val="1"/>
        </w:numPr>
        <w:spacing w:line="360" w:lineRule="auto"/>
        <w:rPr>
          <w:rFonts w:hint="default" w:ascii="宋体" w:hAnsi="宋体" w:eastAsia="宋体" w:cs="宋体"/>
          <w:szCs w:val="24"/>
        </w:rPr>
      </w:pPr>
      <w:r>
        <w:rPr>
          <w:rFonts w:ascii="宋体" w:hAnsi="宋体" w:eastAsia="宋体"/>
          <w:szCs w:val="24"/>
        </w:rPr>
        <w:t>人民币</w:t>
      </w:r>
      <w:r>
        <w:rPr>
          <w:rFonts w:ascii="宋体" w:hAnsi="宋体" w:eastAsia="宋体"/>
          <w:b/>
          <w:szCs w:val="24"/>
        </w:rPr>
        <w:t>68000元/人，</w:t>
      </w:r>
      <w:r>
        <w:rPr>
          <w:rFonts w:ascii="宋体" w:hAnsi="宋体" w:eastAsia="宋体" w:cs="宋体"/>
          <w:szCs w:val="24"/>
        </w:rPr>
        <w:t>（含学费、资料费等, 学习期间的食宿费、交通费自理）</w:t>
      </w:r>
    </w:p>
    <w:p>
      <w:pPr>
        <w:snapToGrid w:val="0"/>
        <w:spacing w:line="360" w:lineRule="auto"/>
        <w:rPr>
          <w:rFonts w:ascii="宋体" w:hAnsi="宋体"/>
          <w:spacing w:val="-10"/>
          <w:sz w:val="24"/>
          <w:szCs w:val="24"/>
        </w:rPr>
      </w:pPr>
      <w:r>
        <w:rPr>
          <w:rFonts w:hint="eastAsia" w:ascii="宋体" w:hAnsi="宋体"/>
          <w:sz w:val="24"/>
          <w:szCs w:val="24"/>
        </w:rPr>
        <w:t xml:space="preserve">   所有费用统一汇到博雅总裁商学院指定账户：</w:t>
      </w:r>
    </w:p>
    <w:p>
      <w:pPr>
        <w:adjustRightInd w:val="0"/>
        <w:snapToGrid w:val="0"/>
        <w:spacing w:line="360" w:lineRule="auto"/>
        <w:rPr>
          <w:rFonts w:ascii="宋体" w:hAnsi="宋体"/>
          <w:sz w:val="24"/>
          <w:szCs w:val="24"/>
        </w:rPr>
      </w:pPr>
      <w:r>
        <w:rPr>
          <w:rFonts w:hint="eastAsia" w:ascii="宋体" w:hAnsi="宋体"/>
          <w:sz w:val="24"/>
          <w:szCs w:val="24"/>
        </w:rPr>
        <w:t xml:space="preserve">   户名：北京博雅学苑教育咨询有限公司</w:t>
      </w:r>
      <w:r>
        <w:rPr>
          <w:rFonts w:hint="eastAsia" w:ascii="宋体" w:hAnsi="宋体"/>
          <w:sz w:val="24"/>
          <w:szCs w:val="24"/>
        </w:rPr>
        <w:br w:type="textWrapping"/>
      </w:r>
      <w:r>
        <w:rPr>
          <w:rFonts w:hint="eastAsia" w:ascii="宋体" w:hAnsi="宋体"/>
          <w:sz w:val="24"/>
          <w:szCs w:val="24"/>
        </w:rPr>
        <w:t xml:space="preserve">   账号：1100 1070 4000 5301 4389</w:t>
      </w:r>
      <w:r>
        <w:rPr>
          <w:rFonts w:hint="eastAsia" w:ascii="宋体" w:hAnsi="宋体"/>
          <w:sz w:val="24"/>
          <w:szCs w:val="24"/>
        </w:rPr>
        <w:br w:type="textWrapping"/>
      </w:r>
      <w:r>
        <w:rPr>
          <w:rFonts w:hint="eastAsia" w:ascii="宋体" w:hAnsi="宋体"/>
          <w:sz w:val="24"/>
          <w:szCs w:val="24"/>
        </w:rPr>
        <w:t xml:space="preserve">   开户行：建行北京北大南街支行营业部</w:t>
      </w:r>
    </w:p>
    <w:p>
      <w:pPr>
        <w:adjustRightInd w:val="0"/>
        <w:snapToGrid w:val="0"/>
        <w:spacing w:line="360" w:lineRule="auto"/>
        <w:rPr>
          <w:rFonts w:ascii="宋体" w:hAnsi="宋体"/>
          <w:sz w:val="24"/>
          <w:szCs w:val="24"/>
        </w:rPr>
      </w:pPr>
    </w:p>
    <w:p>
      <w:pPr>
        <w:adjustRightInd w:val="0"/>
        <w:snapToGrid w:val="0"/>
        <w:spacing w:line="276" w:lineRule="auto"/>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18" o:spid="_x0000_s1047" o:spt="1" style="position:absolute;left:0pt;margin-left:97.7pt;margin-top:6.95pt;height:15.6pt;width:368.5pt;z-index:251674624;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▍学习证书</w:t>
      </w:r>
    </w:p>
    <w:p>
      <w:pPr>
        <w:pStyle w:val="9"/>
        <w:widowControl w:val="0"/>
        <w:spacing w:before="0" w:beforeAutospacing="0" w:after="0" w:afterAutospacing="0" w:line="360" w:lineRule="auto"/>
        <w:jc w:val="both"/>
        <w:rPr>
          <w:rFonts w:ascii="Calibri" w:hAnsi="Calibri" w:cs="宋体"/>
          <w:kern w:val="2"/>
          <w:szCs w:val="24"/>
        </w:rPr>
      </w:pPr>
      <w:r>
        <w:rPr>
          <w:rFonts w:cs="宋体"/>
          <w:b/>
          <w:color w:val="9E2428"/>
          <w:sz w:val="28"/>
          <w:szCs w:val="28"/>
        </w:rPr>
        <w:t>●</w:t>
      </w:r>
      <w:r>
        <w:rPr>
          <w:rFonts w:hint="eastAsia" w:ascii="Calibri" w:hAnsi="Calibri" w:cs="宋体"/>
          <w:kern w:val="2"/>
          <w:szCs w:val="24"/>
        </w:rPr>
        <w:t>通过全部课程及论文考核后，获得博雅总裁商学院颁发的结业证书。</w:t>
      </w:r>
    </w:p>
    <w:p>
      <w:pPr>
        <w:pStyle w:val="9"/>
        <w:widowControl w:val="0"/>
        <w:spacing w:before="0" w:beforeAutospacing="0" w:after="0" w:afterAutospacing="0" w:line="360" w:lineRule="auto"/>
        <w:jc w:val="both"/>
        <w:rPr>
          <w:rFonts w:ascii="Calibri" w:hAnsi="Calibri" w:cs="宋体"/>
          <w:kern w:val="2"/>
          <w:szCs w:val="24"/>
        </w:rPr>
      </w:pPr>
    </w:p>
    <w:p>
      <w:pPr>
        <w:adjustRightInd w:val="0"/>
        <w:snapToGrid w:val="0"/>
        <w:spacing w:line="276" w:lineRule="auto"/>
        <w:rPr>
          <w:rFonts w:ascii="微软雅黑" w:hAnsi="微软雅黑" w:eastAsia="微软雅黑" w:cs="微软雅黑"/>
          <w:b/>
          <w:color w:val="9E2428"/>
          <w:sz w:val="32"/>
          <w:szCs w:val="32"/>
        </w:rPr>
      </w:pPr>
      <w:r>
        <w:rPr>
          <w:rFonts w:ascii="微软雅黑" w:hAnsi="微软雅黑" w:eastAsia="微软雅黑" w:cs="微软雅黑"/>
          <w:b/>
          <w:color w:val="9E2428"/>
          <w:sz w:val="32"/>
          <w:szCs w:val="32"/>
        </w:rPr>
        <w:pict>
          <v:rect id="Rectangle 19" o:spid="_x0000_s1048" o:spt="1" style="position:absolute;left:0pt;margin-left:115.5pt;margin-top:6.9pt;height:15.6pt;width:351.35pt;z-index:251670528;mso-width-relative:page;mso-height-relative:page;" fillcolor="#9E2428" filled="t" o:preferrelative="t" stroked="f" coordsize="21600,21600">
            <v:path/>
            <v:fill on="t" focussize="0,0"/>
            <v:stroke on="f"/>
            <v:imagedata o:title=""/>
            <o:lock v:ext="edit"/>
            <v:shadow on="t" type="perspective" color="#E5B8B7" opacity="32768f" offset="0pt,0pt" origin="0f,32768f" matrix=",-56756f,,32768f"/>
          </v:rect>
        </w:pict>
      </w:r>
      <w:r>
        <w:rPr>
          <w:rFonts w:hint="eastAsia" w:ascii="微软雅黑" w:hAnsi="微软雅黑" w:eastAsia="微软雅黑" w:cs="微软雅黑"/>
          <w:b/>
          <w:color w:val="9E2428"/>
          <w:sz w:val="32"/>
          <w:szCs w:val="32"/>
        </w:rPr>
        <w:t>▍招生办公室</w:t>
      </w:r>
    </w:p>
    <w:p>
      <w:pPr>
        <w:widowControl/>
        <w:spacing w:line="360" w:lineRule="auto"/>
        <w:rPr>
          <w:rFonts w:ascii="宋体" w:hAnsi="宋体" w:cs="宋体"/>
          <w:sz w:val="24"/>
          <w:szCs w:val="24"/>
        </w:rPr>
      </w:pPr>
      <w:r>
        <w:rPr>
          <w:rFonts w:hint="eastAsia" w:ascii="宋体" w:hAnsi="宋体" w:cs="宋体"/>
          <w:b/>
          <w:color w:val="9E2428"/>
          <w:sz w:val="28"/>
          <w:szCs w:val="28"/>
        </w:rPr>
        <w:t>●</w:t>
      </w:r>
      <w:r>
        <w:rPr>
          <w:rFonts w:hint="eastAsia" w:ascii="宋体" w:hAnsi="宋体" w:cs="宋体"/>
          <w:b/>
          <w:color w:val="9E2428"/>
          <w:sz w:val="28"/>
          <w:szCs w:val="28"/>
          <w:lang w:val="en-US" w:eastAsia="zh-CN"/>
        </w:rPr>
        <w:t xml:space="preserve"> </w:t>
      </w:r>
      <w:r>
        <w:rPr>
          <w:rFonts w:hint="eastAsia" w:ascii="Calibri" w:hAnsi="Calibri" w:eastAsia="宋体" w:cs="宋体"/>
          <w:kern w:val="2"/>
          <w:sz w:val="24"/>
          <w:szCs w:val="24"/>
          <w:lang w:val="en-US" w:eastAsia="zh-CN" w:bidi="ar-SA"/>
        </w:rPr>
        <w:t>联 系 人：张老师 15801019329   李老师 13661275200</w:t>
      </w:r>
      <w:r>
        <w:rPr>
          <w:rFonts w:ascii="Arial" w:hAnsi="Arial" w:cs="Arial"/>
          <w:szCs w:val="21"/>
        </w:rPr>
        <w:t xml:space="preserve">  </w:t>
      </w:r>
      <w:r>
        <w:rPr>
          <w:rFonts w:ascii="宋体" w:hAnsi="宋体" w:cs="宋体"/>
          <w:sz w:val="24"/>
          <w:szCs w:val="24"/>
        </w:rPr>
        <w:t xml:space="preserve">                    </w:t>
      </w:r>
    </w:p>
    <w:p>
      <w:pPr>
        <w:widowControl/>
        <w:spacing w:line="360" w:lineRule="auto"/>
        <w:rPr>
          <w:rFonts w:hint="eastAsia" w:ascii="Calibri" w:hAnsi="Calibri" w:eastAsia="宋体" w:cs="宋体"/>
          <w:kern w:val="2"/>
          <w:sz w:val="24"/>
          <w:szCs w:val="24"/>
          <w:lang w:val="en-US" w:eastAsia="zh-CN" w:bidi="ar-SA"/>
        </w:rPr>
      </w:pPr>
      <w:r>
        <w:rPr>
          <w:rFonts w:hint="eastAsia" w:ascii="宋体" w:hAnsi="宋体" w:cs="宋体"/>
          <w:b/>
          <w:color w:val="9E2428"/>
          <w:sz w:val="28"/>
          <w:szCs w:val="28"/>
        </w:rPr>
        <w:t>●</w:t>
      </w:r>
      <w:r>
        <w:rPr>
          <w:rFonts w:hint="eastAsia" w:ascii="宋体" w:hAnsi="宋体" w:cs="宋体"/>
          <w:b/>
          <w:color w:val="9E2428"/>
          <w:sz w:val="28"/>
          <w:szCs w:val="28"/>
          <w:lang w:val="en-US" w:eastAsia="zh-CN"/>
        </w:rPr>
        <w:t xml:space="preserve"> </w:t>
      </w:r>
      <w:r>
        <w:rPr>
          <w:rFonts w:hint="eastAsia" w:ascii="Calibri" w:hAnsi="Calibri" w:eastAsia="宋体" w:cs="宋体"/>
          <w:kern w:val="2"/>
          <w:sz w:val="24"/>
          <w:szCs w:val="24"/>
          <w:lang w:val="en-US" w:eastAsia="zh-CN" w:bidi="ar-SA"/>
        </w:rPr>
        <w:t>联系电话：010-56156755   010-56156833</w:t>
      </w:r>
    </w:p>
    <w:p>
      <w:pPr>
        <w:widowControl/>
        <w:spacing w:line="360" w:lineRule="auto"/>
        <w:rPr>
          <w:rFonts w:hint="eastAsia" w:ascii="Calibri" w:hAnsi="Calibri" w:eastAsia="宋体" w:cs="宋体"/>
          <w:kern w:val="2"/>
          <w:sz w:val="24"/>
          <w:szCs w:val="24"/>
          <w:lang w:val="en-US" w:eastAsia="zh-CN" w:bidi="ar-SA"/>
        </w:rPr>
      </w:pPr>
      <w:r>
        <w:rPr>
          <w:rFonts w:hint="eastAsia" w:ascii="宋体" w:hAnsi="宋体" w:cs="宋体"/>
          <w:b/>
          <w:color w:val="9E2428"/>
          <w:sz w:val="28"/>
          <w:szCs w:val="28"/>
        </w:rPr>
        <w:t>●</w:t>
      </w:r>
      <w:r>
        <w:rPr>
          <w:rFonts w:hint="eastAsia" w:ascii="宋体" w:hAnsi="宋体" w:cs="宋体"/>
          <w:b/>
          <w:color w:val="9E2428"/>
          <w:sz w:val="28"/>
          <w:szCs w:val="28"/>
          <w:lang w:val="en-US" w:eastAsia="zh-CN"/>
        </w:rPr>
        <w:t xml:space="preserve"> </w:t>
      </w:r>
      <w:r>
        <w:rPr>
          <w:rFonts w:hint="eastAsia" w:ascii="Calibri" w:hAnsi="Calibri" w:eastAsia="宋体" w:cs="宋体"/>
          <w:kern w:val="2"/>
          <w:sz w:val="24"/>
          <w:szCs w:val="24"/>
          <w:lang w:val="en-US" w:eastAsia="zh-CN" w:bidi="ar-SA"/>
        </w:rPr>
        <w:t xml:space="preserve">邮    箱：pkuyxb@163.com   137198858@qq.com </w:t>
      </w:r>
    </w:p>
    <w:p>
      <w:pPr>
        <w:pStyle w:val="10"/>
        <w:widowControl/>
        <w:spacing w:line="360" w:lineRule="auto"/>
        <w:rPr>
          <w:rFonts w:eastAsia="Times New Roman"/>
          <w:b/>
          <w:color w:val="9E2428"/>
          <w:sz w:val="32"/>
        </w:rPr>
      </w:pPr>
      <w:r>
        <w:rPr>
          <w:rFonts w:hint="eastAsia" w:ascii="宋体" w:hAnsi="宋体"/>
          <w:color w:val="9E2428"/>
          <w:kern w:val="0"/>
          <w:sz w:val="36"/>
          <w:szCs w:val="36"/>
        </w:rPr>
        <w:t>博雅国学商道高级研修班</w:t>
      </w:r>
      <w:r>
        <w:rPr>
          <w:rFonts w:hint="eastAsia" w:ascii="宋体" w:hAnsi="宋体"/>
          <w:color w:val="9E2428"/>
          <w:kern w:val="0"/>
          <w:sz w:val="36"/>
          <w:szCs w:val="36"/>
          <w:lang w:val="en-US" w:eastAsia="zh-CN"/>
        </w:rPr>
        <w:t xml:space="preserve"> </w:t>
      </w:r>
      <w:r>
        <w:rPr>
          <w:rFonts w:hint="eastAsia"/>
          <w:b/>
          <w:color w:val="9E2428"/>
          <w:sz w:val="32"/>
        </w:rPr>
        <w:t>报名申请表</w:t>
      </w:r>
    </w:p>
    <w:tbl>
      <w:tblPr>
        <w:tblStyle w:val="15"/>
        <w:tblW w:w="9666"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401"/>
        <w:gridCol w:w="403"/>
        <w:gridCol w:w="402"/>
        <w:gridCol w:w="31"/>
        <w:gridCol w:w="370"/>
        <w:gridCol w:w="307"/>
        <w:gridCol w:w="112"/>
        <w:gridCol w:w="404"/>
        <w:gridCol w:w="155"/>
        <w:gridCol w:w="53"/>
        <w:gridCol w:w="179"/>
        <w:gridCol w:w="17"/>
        <w:gridCol w:w="434"/>
        <w:gridCol w:w="424"/>
        <w:gridCol w:w="160"/>
        <w:gridCol w:w="309"/>
        <w:gridCol w:w="365"/>
        <w:gridCol w:w="95"/>
        <w:gridCol w:w="425"/>
        <w:gridCol w:w="435"/>
        <w:gridCol w:w="209"/>
        <w:gridCol w:w="241"/>
        <w:gridCol w:w="465"/>
        <w:gridCol w:w="465"/>
        <w:gridCol w:w="480"/>
        <w:gridCol w:w="41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08" w:type="dxa"/>
            <w:tcBorders>
              <w:top w:val="double" w:color="auto" w:sz="4"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姓名</w:t>
            </w:r>
          </w:p>
        </w:tc>
        <w:tc>
          <w:tcPr>
            <w:tcW w:w="1914" w:type="dxa"/>
            <w:gridSpan w:val="6"/>
            <w:tcBorders>
              <w:top w:val="double" w:color="auto" w:sz="4" w:space="0"/>
              <w:left w:val="single" w:color="auto" w:sz="6" w:space="0"/>
              <w:bottom w:val="single" w:color="auto" w:sz="6" w:space="0"/>
              <w:right w:val="single" w:color="auto" w:sz="6" w:space="0"/>
            </w:tcBorders>
            <w:shd w:val="clear" w:color="auto" w:fill="auto"/>
            <w:vAlign w:val="center"/>
          </w:tcPr>
          <w:p>
            <w:pPr>
              <w:jc w:val="center"/>
              <w:rPr>
                <w:rFonts w:eastAsia="Times New Roman"/>
                <w:b/>
              </w:rPr>
            </w:pPr>
          </w:p>
        </w:tc>
        <w:tc>
          <w:tcPr>
            <w:tcW w:w="903" w:type="dxa"/>
            <w:gridSpan w:val="5"/>
            <w:tcBorders>
              <w:top w:val="double" w:color="auto" w:sz="4" w:space="0"/>
              <w:left w:val="single" w:color="auto" w:sz="6"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性别</w:t>
            </w:r>
          </w:p>
        </w:tc>
        <w:tc>
          <w:tcPr>
            <w:tcW w:w="875" w:type="dxa"/>
            <w:gridSpan w:val="3"/>
            <w:tcBorders>
              <w:top w:val="double" w:color="auto" w:sz="4" w:space="0"/>
              <w:left w:val="single" w:color="auto" w:sz="6" w:space="0"/>
              <w:bottom w:val="single" w:color="auto" w:sz="4" w:space="0"/>
              <w:right w:val="single" w:color="auto" w:sz="6" w:space="0"/>
            </w:tcBorders>
            <w:shd w:val="clear" w:color="auto" w:fill="auto"/>
            <w:vAlign w:val="center"/>
          </w:tcPr>
          <w:p>
            <w:pPr>
              <w:jc w:val="center"/>
              <w:rPr>
                <w:rFonts w:eastAsia="Times New Roman"/>
                <w:b/>
              </w:rPr>
            </w:pPr>
          </w:p>
        </w:tc>
        <w:tc>
          <w:tcPr>
            <w:tcW w:w="834" w:type="dxa"/>
            <w:gridSpan w:val="3"/>
            <w:tcBorders>
              <w:top w:val="double" w:color="auto" w:sz="4" w:space="0"/>
              <w:left w:val="single" w:color="auto" w:sz="6" w:space="0"/>
              <w:bottom w:val="single" w:color="auto" w:sz="4" w:space="0"/>
              <w:right w:val="single" w:color="auto" w:sz="6" w:space="0"/>
            </w:tcBorders>
            <w:shd w:val="clear" w:color="auto" w:fill="E6E6E6"/>
            <w:vAlign w:val="center"/>
          </w:tcPr>
          <w:p>
            <w:pPr>
              <w:jc w:val="center"/>
              <w:rPr>
                <w:rFonts w:eastAsia="Times New Roman"/>
                <w:b/>
              </w:rPr>
            </w:pPr>
            <w:r>
              <w:rPr>
                <w:rFonts w:hint="eastAsia"/>
                <w:b/>
              </w:rPr>
              <w:t>年龄</w:t>
            </w:r>
          </w:p>
        </w:tc>
        <w:tc>
          <w:tcPr>
            <w:tcW w:w="1164" w:type="dxa"/>
            <w:gridSpan w:val="4"/>
            <w:tcBorders>
              <w:top w:val="double" w:color="auto" w:sz="4" w:space="0"/>
              <w:left w:val="single" w:color="auto" w:sz="6" w:space="0"/>
              <w:bottom w:val="single" w:color="auto" w:sz="4" w:space="0"/>
              <w:right w:val="single" w:color="auto" w:sz="6" w:space="0"/>
            </w:tcBorders>
            <w:vAlign w:val="center"/>
          </w:tcPr>
          <w:p>
            <w:pPr>
              <w:jc w:val="center"/>
              <w:rPr>
                <w:rFonts w:eastAsia="Times New Roman"/>
                <w:b/>
              </w:rPr>
            </w:pPr>
          </w:p>
        </w:tc>
        <w:tc>
          <w:tcPr>
            <w:tcW w:w="2068" w:type="dxa"/>
            <w:gridSpan w:val="5"/>
            <w:vMerge w:val="restart"/>
            <w:tcBorders>
              <w:top w:val="double" w:color="auto" w:sz="4" w:space="0"/>
              <w:left w:val="single" w:color="auto" w:sz="6" w:space="0"/>
              <w:bottom w:val="single" w:color="auto" w:sz="6" w:space="0"/>
              <w:right w:val="double" w:color="auto" w:sz="4" w:space="0"/>
            </w:tcBorders>
            <w:vAlign w:val="center"/>
          </w:tcPr>
          <w:p>
            <w:pPr>
              <w:jc w:val="center"/>
              <w:rPr>
                <w:rFonts w:eastAsia="Times New Roman"/>
                <w:b/>
              </w:rPr>
            </w:pPr>
            <w:r>
              <w:rPr>
                <w:rFonts w:hint="eastAsia"/>
                <w:b/>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08" w:type="dxa"/>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工作单位</w:t>
            </w:r>
          </w:p>
        </w:tc>
        <w:tc>
          <w:tcPr>
            <w:tcW w:w="3692" w:type="dxa"/>
            <w:gridSpan w:val="14"/>
            <w:tcBorders>
              <w:top w:val="single" w:color="auto" w:sz="6" w:space="0"/>
              <w:left w:val="single" w:color="auto" w:sz="6" w:space="0"/>
              <w:bottom w:val="single" w:color="auto" w:sz="6" w:space="0"/>
              <w:right w:val="single" w:color="auto" w:sz="6" w:space="0"/>
            </w:tcBorders>
            <w:shd w:val="clear" w:color="auto" w:fill="auto"/>
            <w:vAlign w:val="center"/>
          </w:tcPr>
          <w:p>
            <w:pPr>
              <w:rPr>
                <w:rFonts w:eastAsia="Times New Roman"/>
                <w:b/>
              </w:rPr>
            </w:pPr>
          </w:p>
        </w:tc>
        <w:tc>
          <w:tcPr>
            <w:tcW w:w="834" w:type="dxa"/>
            <w:gridSpan w:val="3"/>
            <w:tcBorders>
              <w:top w:val="single" w:color="auto" w:sz="6" w:space="0"/>
              <w:left w:val="single" w:color="auto" w:sz="6" w:space="0"/>
              <w:bottom w:val="single" w:color="auto" w:sz="4" w:space="0"/>
              <w:right w:val="single" w:color="auto" w:sz="6" w:space="0"/>
            </w:tcBorders>
            <w:shd w:val="clear" w:color="auto" w:fill="E6E6E6"/>
            <w:vAlign w:val="center"/>
          </w:tcPr>
          <w:p>
            <w:pPr>
              <w:jc w:val="center"/>
              <w:rPr>
                <w:rFonts w:eastAsia="Times New Roman"/>
                <w:b/>
              </w:rPr>
            </w:pPr>
            <w:r>
              <w:rPr>
                <w:rFonts w:hint="eastAsia"/>
                <w:b/>
              </w:rPr>
              <w:t>职位</w:t>
            </w:r>
          </w:p>
        </w:tc>
        <w:tc>
          <w:tcPr>
            <w:tcW w:w="1164" w:type="dxa"/>
            <w:gridSpan w:val="4"/>
            <w:tcBorders>
              <w:top w:val="single" w:color="auto" w:sz="6" w:space="0"/>
              <w:left w:val="single" w:color="auto" w:sz="6" w:space="0"/>
              <w:bottom w:val="single" w:color="auto" w:sz="4" w:space="0"/>
              <w:right w:val="single" w:color="auto" w:sz="6" w:space="0"/>
            </w:tcBorders>
            <w:vAlign w:val="center"/>
          </w:tcPr>
          <w:p>
            <w:pPr>
              <w:jc w:val="center"/>
              <w:rPr>
                <w:rFonts w:eastAsia="Times New Roman"/>
                <w:b/>
              </w:rPr>
            </w:pPr>
          </w:p>
        </w:tc>
        <w:tc>
          <w:tcPr>
            <w:tcW w:w="2068" w:type="dxa"/>
            <w:gridSpan w:val="5"/>
            <w:vMerge w:val="continue"/>
            <w:tcBorders>
              <w:top w:val="single" w:color="auto" w:sz="6" w:space="0"/>
              <w:left w:val="single" w:color="auto" w:sz="6"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08" w:type="dxa"/>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单位地址</w:t>
            </w:r>
          </w:p>
        </w:tc>
        <w:tc>
          <w:tcPr>
            <w:tcW w:w="3692" w:type="dxa"/>
            <w:gridSpan w:val="14"/>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Times New Roman"/>
                <w:b/>
              </w:rPr>
            </w:pPr>
          </w:p>
        </w:tc>
        <w:tc>
          <w:tcPr>
            <w:tcW w:w="834" w:type="dxa"/>
            <w:gridSpan w:val="3"/>
            <w:tcBorders>
              <w:top w:val="single" w:color="auto" w:sz="6" w:space="0"/>
              <w:left w:val="single" w:color="auto" w:sz="6"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邮编</w:t>
            </w:r>
          </w:p>
        </w:tc>
        <w:tc>
          <w:tcPr>
            <w:tcW w:w="1164"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2068" w:type="dxa"/>
            <w:gridSpan w:val="5"/>
            <w:vMerge w:val="continue"/>
            <w:tcBorders>
              <w:top w:val="single" w:color="auto" w:sz="6" w:space="0"/>
              <w:left w:val="single" w:color="auto" w:sz="6"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08" w:type="dxa"/>
            <w:tcBorders>
              <w:top w:val="single" w:color="auto" w:sz="6" w:space="0"/>
              <w:left w:val="double" w:color="auto" w:sz="4" w:space="0"/>
              <w:bottom w:val="single" w:color="auto" w:sz="4" w:space="0"/>
              <w:right w:val="single" w:color="auto" w:sz="6" w:space="0"/>
            </w:tcBorders>
            <w:shd w:val="clear" w:color="auto" w:fill="E6E6E6"/>
            <w:vAlign w:val="center"/>
          </w:tcPr>
          <w:p>
            <w:pPr>
              <w:jc w:val="center"/>
              <w:rPr>
                <w:rFonts w:eastAsia="Times New Roman"/>
                <w:b/>
              </w:rPr>
            </w:pPr>
            <w:r>
              <w:rPr>
                <w:rFonts w:hint="eastAsia"/>
                <w:b/>
              </w:rPr>
              <w:t>固定电话</w:t>
            </w:r>
          </w:p>
        </w:tc>
        <w:tc>
          <w:tcPr>
            <w:tcW w:w="2638" w:type="dxa"/>
            <w:gridSpan w:val="10"/>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Times New Roman"/>
                <w:b/>
              </w:rPr>
            </w:pPr>
          </w:p>
        </w:tc>
        <w:tc>
          <w:tcPr>
            <w:tcW w:w="1054" w:type="dxa"/>
            <w:gridSpan w:val="4"/>
            <w:tcBorders>
              <w:top w:val="single" w:color="auto" w:sz="6" w:space="0"/>
              <w:left w:val="single" w:color="auto" w:sz="6"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传真</w:t>
            </w:r>
          </w:p>
        </w:tc>
        <w:tc>
          <w:tcPr>
            <w:tcW w:w="1998" w:type="dxa"/>
            <w:gridSpan w:val="7"/>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2068" w:type="dxa"/>
            <w:gridSpan w:val="5"/>
            <w:vMerge w:val="continue"/>
            <w:tcBorders>
              <w:top w:val="single" w:color="auto" w:sz="6" w:space="0"/>
              <w:left w:val="single" w:color="auto" w:sz="6"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0" w:hRule="atLeast"/>
          <w:jc w:val="center"/>
        </w:trPr>
        <w:tc>
          <w:tcPr>
            <w:tcW w:w="1908" w:type="dxa"/>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手　　机</w:t>
            </w:r>
          </w:p>
        </w:tc>
        <w:tc>
          <w:tcPr>
            <w:tcW w:w="2638" w:type="dxa"/>
            <w:gridSpan w:val="10"/>
            <w:tcBorders>
              <w:top w:val="single" w:color="auto" w:sz="6" w:space="0"/>
              <w:left w:val="single" w:color="auto" w:sz="6" w:space="0"/>
              <w:bottom w:val="single" w:color="auto" w:sz="4" w:space="0"/>
              <w:right w:val="single" w:color="auto" w:sz="6" w:space="0"/>
            </w:tcBorders>
            <w:shd w:val="clear" w:color="auto" w:fill="auto"/>
            <w:vAlign w:val="center"/>
          </w:tcPr>
          <w:p>
            <w:pPr>
              <w:jc w:val="center"/>
              <w:rPr>
                <w:rFonts w:eastAsia="Times New Roman"/>
                <w:b/>
              </w:rPr>
            </w:pPr>
          </w:p>
        </w:tc>
        <w:tc>
          <w:tcPr>
            <w:tcW w:w="1054" w:type="dxa"/>
            <w:gridSpan w:val="4"/>
            <w:tcBorders>
              <w:top w:val="single" w:color="auto" w:sz="6" w:space="0"/>
              <w:left w:val="single" w:color="auto" w:sz="6" w:space="0"/>
              <w:bottom w:val="single" w:color="auto" w:sz="4" w:space="0"/>
              <w:right w:val="single" w:color="auto" w:sz="6" w:space="0"/>
            </w:tcBorders>
            <w:shd w:val="clear" w:color="auto" w:fill="E6E6E6"/>
            <w:vAlign w:val="center"/>
          </w:tcPr>
          <w:p>
            <w:pPr>
              <w:jc w:val="center"/>
              <w:rPr>
                <w:rFonts w:eastAsia="Times New Roman"/>
                <w:b/>
              </w:rPr>
            </w:pPr>
            <w:r>
              <w:rPr>
                <w:b/>
              </w:rPr>
              <w:t>E-mail</w:t>
            </w:r>
          </w:p>
        </w:tc>
        <w:tc>
          <w:tcPr>
            <w:tcW w:w="4066" w:type="dxa"/>
            <w:gridSpan w:val="12"/>
            <w:tcBorders>
              <w:top w:val="single" w:color="auto" w:sz="6" w:space="0"/>
              <w:left w:val="single" w:color="auto" w:sz="6" w:space="0"/>
              <w:bottom w:val="single" w:color="auto" w:sz="4"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88" w:hRule="atLeast"/>
          <w:jc w:val="center"/>
        </w:trPr>
        <w:tc>
          <w:tcPr>
            <w:tcW w:w="1908" w:type="dxa"/>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身份证</w:t>
            </w:r>
          </w:p>
          <w:p>
            <w:pPr>
              <w:jc w:val="center"/>
              <w:rPr>
                <w:rFonts w:eastAsia="Times New Roman"/>
                <w:b/>
              </w:rPr>
            </w:pPr>
            <w:r>
              <w:rPr>
                <w:rFonts w:hint="eastAsia"/>
                <w:b/>
              </w:rPr>
              <w:t>号码</w:t>
            </w:r>
          </w:p>
        </w:tc>
        <w:tc>
          <w:tcPr>
            <w:tcW w:w="401"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03"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02"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01"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19"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04"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04"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34"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24"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69"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60"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25"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35"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50"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65"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65"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80" w:type="dxa"/>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417" w:type="dxa"/>
            <w:tcBorders>
              <w:top w:val="single" w:color="auto" w:sz="6" w:space="0"/>
              <w:left w:val="single" w:color="auto" w:sz="6"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84" w:hRule="atLeast"/>
          <w:jc w:val="center"/>
        </w:trPr>
        <w:tc>
          <w:tcPr>
            <w:tcW w:w="1908" w:type="dxa"/>
            <w:vMerge w:val="restart"/>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教育背景</w:t>
            </w:r>
          </w:p>
        </w:tc>
        <w:tc>
          <w:tcPr>
            <w:tcW w:w="1237"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r>
              <w:rPr>
                <w:rFonts w:hint="eastAsia"/>
                <w:b/>
              </w:rPr>
              <w:t>毕业院校</w:t>
            </w:r>
          </w:p>
        </w:tc>
        <w:tc>
          <w:tcPr>
            <w:tcW w:w="2615" w:type="dxa"/>
            <w:gridSpan w:val="11"/>
            <w:tcBorders>
              <w:top w:val="single" w:color="auto" w:sz="6" w:space="0"/>
              <w:left w:val="single" w:color="auto" w:sz="6" w:space="0"/>
              <w:bottom w:val="single" w:color="auto" w:sz="6" w:space="0"/>
              <w:right w:val="single" w:color="auto" w:sz="4" w:space="0"/>
            </w:tcBorders>
            <w:vAlign w:val="center"/>
          </w:tcPr>
          <w:p>
            <w:pPr>
              <w:jc w:val="center"/>
              <w:rPr>
                <w:rFonts w:eastAsia="Times New Roman"/>
                <w:b/>
              </w:rPr>
            </w:pPr>
          </w:p>
        </w:tc>
        <w:tc>
          <w:tcPr>
            <w:tcW w:w="1629" w:type="dxa"/>
            <w:gridSpan w:val="5"/>
            <w:tcBorders>
              <w:top w:val="single" w:color="auto" w:sz="6" w:space="0"/>
              <w:left w:val="single" w:color="auto" w:sz="4" w:space="0"/>
              <w:bottom w:val="single" w:color="auto" w:sz="6" w:space="0"/>
              <w:right w:val="single" w:color="auto" w:sz="4" w:space="0"/>
            </w:tcBorders>
            <w:vAlign w:val="center"/>
          </w:tcPr>
          <w:p>
            <w:pPr>
              <w:jc w:val="center"/>
              <w:rPr>
                <w:rFonts w:eastAsia="Times New Roman"/>
                <w:b/>
              </w:rPr>
            </w:pPr>
            <w:r>
              <w:rPr>
                <w:rFonts w:hint="eastAsia"/>
                <w:b/>
              </w:rPr>
              <w:t>学历与学位</w:t>
            </w:r>
          </w:p>
        </w:tc>
        <w:tc>
          <w:tcPr>
            <w:tcW w:w="2277" w:type="dxa"/>
            <w:gridSpan w:val="6"/>
            <w:tcBorders>
              <w:top w:val="single" w:color="auto" w:sz="6" w:space="0"/>
              <w:left w:val="single" w:color="auto" w:sz="4"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94" w:hRule="atLeast"/>
          <w:jc w:val="center"/>
        </w:trPr>
        <w:tc>
          <w:tcPr>
            <w:tcW w:w="1908" w:type="dxa"/>
            <w:vMerge w:val="continue"/>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p>
        </w:tc>
        <w:tc>
          <w:tcPr>
            <w:tcW w:w="1237"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r>
              <w:rPr>
                <w:rFonts w:hint="eastAsia"/>
                <w:b/>
              </w:rPr>
              <w:t>毕业时间</w:t>
            </w:r>
          </w:p>
        </w:tc>
        <w:tc>
          <w:tcPr>
            <w:tcW w:w="2615" w:type="dxa"/>
            <w:gridSpan w:val="11"/>
            <w:tcBorders>
              <w:top w:val="single" w:color="auto" w:sz="6" w:space="0"/>
              <w:left w:val="single" w:color="auto" w:sz="6" w:space="0"/>
              <w:bottom w:val="single" w:color="auto" w:sz="6" w:space="0"/>
              <w:right w:val="single" w:color="auto" w:sz="6" w:space="0"/>
            </w:tcBorders>
            <w:vAlign w:val="center"/>
          </w:tcPr>
          <w:p>
            <w:pPr>
              <w:jc w:val="center"/>
              <w:rPr>
                <w:rFonts w:eastAsia="Times New Roman"/>
                <w:b/>
              </w:rPr>
            </w:pPr>
          </w:p>
        </w:tc>
        <w:tc>
          <w:tcPr>
            <w:tcW w:w="1629"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Times New Roman"/>
                <w:b/>
              </w:rPr>
            </w:pPr>
            <w:r>
              <w:rPr>
                <w:rFonts w:hint="eastAsia"/>
                <w:b/>
              </w:rPr>
              <w:t>专业</w:t>
            </w:r>
          </w:p>
        </w:tc>
        <w:tc>
          <w:tcPr>
            <w:tcW w:w="2277" w:type="dxa"/>
            <w:gridSpan w:val="6"/>
            <w:tcBorders>
              <w:top w:val="single" w:color="auto" w:sz="6" w:space="0"/>
              <w:left w:val="single" w:color="auto" w:sz="4" w:space="0"/>
              <w:bottom w:val="single" w:color="auto" w:sz="6" w:space="0"/>
              <w:right w:val="double" w:color="auto" w:sz="4" w:space="0"/>
            </w:tcBorders>
            <w:vAlign w:val="center"/>
          </w:tcPr>
          <w:p>
            <w:pPr>
              <w:jc w:val="cente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593" w:hRule="atLeast"/>
          <w:jc w:val="center"/>
        </w:trPr>
        <w:tc>
          <w:tcPr>
            <w:tcW w:w="1908" w:type="dxa"/>
            <w:tcBorders>
              <w:top w:val="single" w:color="auto" w:sz="6" w:space="0"/>
              <w:left w:val="double" w:color="auto" w:sz="4" w:space="0"/>
              <w:bottom w:val="single" w:color="auto" w:sz="6" w:space="0"/>
              <w:right w:val="single" w:color="auto" w:sz="6" w:space="0"/>
            </w:tcBorders>
            <w:shd w:val="clear" w:color="auto" w:fill="E6E6E6"/>
            <w:vAlign w:val="center"/>
          </w:tcPr>
          <w:p>
            <w:pPr>
              <w:jc w:val="center"/>
              <w:rPr>
                <w:rFonts w:eastAsia="Times New Roman"/>
                <w:b/>
              </w:rPr>
            </w:pPr>
            <w:r>
              <w:rPr>
                <w:rFonts w:hint="eastAsia"/>
                <w:b/>
              </w:rPr>
              <w:t>工作简历</w:t>
            </w:r>
          </w:p>
        </w:tc>
        <w:tc>
          <w:tcPr>
            <w:tcW w:w="7758" w:type="dxa"/>
            <w:gridSpan w:val="26"/>
            <w:tcBorders>
              <w:top w:val="single" w:color="auto" w:sz="6" w:space="0"/>
              <w:left w:val="single" w:color="auto" w:sz="6" w:space="0"/>
              <w:bottom w:val="single" w:color="auto" w:sz="6" w:space="0"/>
              <w:right w:val="double" w:color="auto" w:sz="4" w:space="0"/>
            </w:tcBorders>
            <w:vAlign w:val="center"/>
          </w:tcPr>
          <w:p>
            <w:pPr>
              <w:rPr>
                <w:rFonts w:eastAsia="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jc w:val="center"/>
        </w:trPr>
        <w:tc>
          <w:tcPr>
            <w:tcW w:w="1908" w:type="dxa"/>
            <w:tcBorders>
              <w:top w:val="single" w:color="auto" w:sz="6" w:space="0"/>
              <w:left w:val="double" w:color="auto" w:sz="4" w:space="0"/>
              <w:bottom w:val="single" w:color="auto" w:sz="4" w:space="0"/>
              <w:right w:val="single" w:color="auto" w:sz="4" w:space="0"/>
            </w:tcBorders>
            <w:shd w:val="clear" w:color="auto" w:fill="E6E6E6"/>
            <w:vAlign w:val="center"/>
          </w:tcPr>
          <w:p>
            <w:pPr>
              <w:jc w:val="center"/>
              <w:rPr>
                <w:b/>
              </w:rPr>
            </w:pPr>
            <w:r>
              <w:rPr>
                <w:rFonts w:hint="eastAsia"/>
                <w:b/>
              </w:rPr>
              <w:t>是否预定房间</w:t>
            </w:r>
          </w:p>
        </w:tc>
        <w:tc>
          <w:tcPr>
            <w:tcW w:w="2585" w:type="dxa"/>
            <w:gridSpan w:val="9"/>
            <w:tcBorders>
              <w:top w:val="single" w:color="auto" w:sz="6" w:space="0"/>
              <w:left w:val="single" w:color="auto" w:sz="4" w:space="0"/>
              <w:bottom w:val="single" w:color="auto" w:sz="6" w:space="0"/>
              <w:right w:val="single" w:color="auto" w:sz="6" w:space="0"/>
            </w:tcBorders>
            <w:vAlign w:val="center"/>
          </w:tcPr>
          <w:p>
            <w:pPr>
              <w:rPr>
                <w:b/>
              </w:rPr>
            </w:pPr>
            <w:r>
              <w:rPr>
                <w:rFonts w:hint="eastAsia"/>
                <w:b/>
              </w:rPr>
              <w:t>□需要　□不需要</w:t>
            </w:r>
          </w:p>
        </w:tc>
        <w:tc>
          <w:tcPr>
            <w:tcW w:w="2036" w:type="dxa"/>
            <w:gridSpan w:val="9"/>
            <w:tcBorders>
              <w:top w:val="single" w:color="auto" w:sz="6" w:space="0"/>
              <w:left w:val="single" w:color="auto" w:sz="6" w:space="0"/>
              <w:bottom w:val="single" w:color="auto" w:sz="6" w:space="0"/>
              <w:right w:val="single" w:color="auto" w:sz="6" w:space="0"/>
            </w:tcBorders>
            <w:vAlign w:val="center"/>
          </w:tcPr>
          <w:p>
            <w:pPr>
              <w:rPr>
                <w:b/>
              </w:rPr>
            </w:pPr>
            <w:r>
              <w:rPr>
                <w:rFonts w:hint="eastAsia" w:ascii="宋体" w:hAnsi="宋体"/>
                <w:b/>
                <w:kern w:val="0"/>
                <w:szCs w:val="21"/>
              </w:rPr>
              <w:t>有关课程申请联系</w:t>
            </w:r>
          </w:p>
        </w:tc>
        <w:tc>
          <w:tcPr>
            <w:tcW w:w="3137" w:type="dxa"/>
            <w:gridSpan w:val="8"/>
            <w:tcBorders>
              <w:top w:val="single" w:color="auto" w:sz="6" w:space="0"/>
              <w:left w:val="single" w:color="auto" w:sz="6" w:space="0"/>
              <w:bottom w:val="single" w:color="auto" w:sz="6" w:space="0"/>
              <w:right w:val="double" w:color="auto" w:sz="4" w:space="0"/>
            </w:tcBorders>
            <w:vAlign w:val="center"/>
          </w:tcPr>
          <w:p>
            <w:pPr>
              <w:rPr>
                <w:b/>
              </w:rPr>
            </w:pPr>
            <w:r>
              <w:rPr>
                <w:rFonts w:hint="eastAsia" w:ascii="宋体" w:hAnsi="宋体"/>
                <w:b/>
                <w:kern w:val="0"/>
                <w:szCs w:val="21"/>
              </w:rPr>
              <w:t>□本人   □培训负责人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jc w:val="center"/>
        </w:trPr>
        <w:tc>
          <w:tcPr>
            <w:tcW w:w="1908" w:type="dxa"/>
            <w:tcBorders>
              <w:top w:val="single" w:color="auto" w:sz="6" w:space="0"/>
              <w:left w:val="double" w:color="auto" w:sz="4" w:space="0"/>
              <w:bottom w:val="single" w:color="auto" w:sz="4" w:space="0"/>
              <w:right w:val="single" w:color="auto" w:sz="4" w:space="0"/>
            </w:tcBorders>
            <w:shd w:val="clear" w:color="auto" w:fill="E6E6E6"/>
            <w:vAlign w:val="center"/>
          </w:tcPr>
          <w:p>
            <w:pPr>
              <w:widowControl/>
              <w:jc w:val="center"/>
              <w:rPr>
                <w:rFonts w:ascii="宋体" w:hAnsi="宋体" w:cs="宋体"/>
                <w:b/>
                <w:kern w:val="0"/>
                <w:szCs w:val="21"/>
              </w:rPr>
            </w:pPr>
            <w:r>
              <w:rPr>
                <w:rFonts w:hint="eastAsia" w:ascii="宋体" w:hAnsi="宋体" w:cs="宋体"/>
                <w:b/>
                <w:kern w:val="0"/>
                <w:szCs w:val="21"/>
              </w:rPr>
              <w:t>贵公司是否有</w:t>
            </w:r>
          </w:p>
          <w:p>
            <w:pPr>
              <w:widowControl/>
              <w:jc w:val="center"/>
              <w:rPr>
                <w:b/>
              </w:rPr>
            </w:pPr>
            <w:r>
              <w:rPr>
                <w:rFonts w:hint="eastAsia" w:ascii="宋体" w:hAnsi="宋体"/>
                <w:b/>
                <w:kern w:val="0"/>
                <w:szCs w:val="21"/>
              </w:rPr>
              <w:t>培训负责人</w:t>
            </w:r>
          </w:p>
        </w:tc>
        <w:tc>
          <w:tcPr>
            <w:tcW w:w="7758" w:type="dxa"/>
            <w:gridSpan w:val="26"/>
            <w:tcBorders>
              <w:top w:val="single" w:color="auto" w:sz="6" w:space="0"/>
              <w:left w:val="single" w:color="auto" w:sz="4" w:space="0"/>
              <w:bottom w:val="single" w:color="auto" w:sz="4" w:space="0"/>
              <w:right w:val="double" w:color="auto" w:sz="4" w:space="0"/>
            </w:tcBorders>
            <w:vAlign w:val="center"/>
          </w:tcPr>
          <w:p>
            <w:pPr>
              <w:rPr>
                <w:b/>
              </w:rPr>
            </w:pPr>
            <w:r>
              <w:rPr>
                <w:rFonts w:hint="eastAsia" w:ascii="宋体" w:hAnsi="宋体"/>
                <w:b/>
                <w:kern w:val="0"/>
                <w:szCs w:val="21"/>
              </w:rPr>
              <w:t>□否     □是（请注明）   姓名：           电话/手机：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851" w:hRule="atLeast"/>
          <w:jc w:val="center"/>
        </w:trPr>
        <w:tc>
          <w:tcPr>
            <w:tcW w:w="9666" w:type="dxa"/>
            <w:gridSpan w:val="27"/>
            <w:tcBorders>
              <w:top w:val="single" w:color="auto" w:sz="4" w:space="0"/>
              <w:left w:val="double" w:color="auto" w:sz="4" w:space="0"/>
              <w:bottom w:val="single" w:color="auto" w:sz="4" w:space="0"/>
              <w:right w:val="double" w:color="auto" w:sz="4" w:space="0"/>
            </w:tcBorders>
            <w:shd w:val="clear" w:color="auto" w:fill="E6E6E6"/>
            <w:vAlign w:val="center"/>
          </w:tcPr>
          <w:p>
            <w:pPr>
              <w:autoSpaceDE w:val="0"/>
              <w:autoSpaceDN w:val="0"/>
              <w:rPr>
                <w:rFonts w:eastAsia="Times New Roman"/>
                <w:b/>
                <w:lang w:val="zh-CN"/>
              </w:rPr>
            </w:pPr>
            <w:r>
              <w:rPr>
                <w:rFonts w:hint="eastAsia"/>
                <w:b/>
                <w:lang w:val="zh-CN"/>
              </w:rPr>
              <w:t>您的建议与要求：</w:t>
            </w:r>
          </w:p>
          <w:p>
            <w:pPr>
              <w:autoSpaceDE w:val="0"/>
              <w:autoSpaceDN w:val="0"/>
              <w:rPr>
                <w:rFonts w:eastAsia="Times New Roman"/>
                <w:b/>
                <w:lang w:val="zh-CN"/>
              </w:rPr>
            </w:pPr>
          </w:p>
          <w:p>
            <w:pPr>
              <w:autoSpaceDE w:val="0"/>
              <w:autoSpaceDN w:val="0"/>
              <w:rPr>
                <w:rFonts w:eastAsia="Times New Roman"/>
                <w:b/>
                <w:lang w:val="zh-CN"/>
              </w:rPr>
            </w:pPr>
          </w:p>
          <w:p>
            <w:pPr>
              <w:autoSpaceDE w:val="0"/>
              <w:autoSpaceDN w:val="0"/>
              <w:rPr>
                <w:b/>
                <w:lang w:val="zh-CN"/>
              </w:rPr>
            </w:pPr>
          </w:p>
          <w:p>
            <w:pPr>
              <w:autoSpaceDE w:val="0"/>
              <w:autoSpaceDN w:val="0"/>
              <w:rPr>
                <w:rFonts w:eastAsia="Times New Roman"/>
                <w:b/>
                <w:lang w:val="zh-CN"/>
              </w:rPr>
            </w:pPr>
            <w:r>
              <w:rPr>
                <w:rFonts w:hint="eastAsia"/>
                <w:b/>
              </w:rPr>
              <w:t>申请人：</w:t>
            </w:r>
          </w:p>
          <w:p>
            <w:pPr>
              <w:snapToGrid w:val="0"/>
              <w:rPr>
                <w:rFonts w:eastAsia="Times New Roman"/>
                <w:b/>
                <w:lang w:val="zh-CN"/>
              </w:rPr>
            </w:pPr>
            <w:r>
              <w:rPr>
                <w:rFonts w:hint="eastAsia"/>
                <w:b/>
              </w:rPr>
              <w:t>年月日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30" w:hRule="atLeast"/>
          <w:jc w:val="center"/>
        </w:trPr>
        <w:tc>
          <w:tcPr>
            <w:tcW w:w="9666" w:type="dxa"/>
            <w:gridSpan w:val="27"/>
            <w:tcBorders>
              <w:top w:val="single" w:color="auto" w:sz="4" w:space="0"/>
              <w:left w:val="double" w:color="auto" w:sz="4" w:space="0"/>
              <w:bottom w:val="double" w:color="auto" w:sz="4" w:space="0"/>
              <w:right w:val="double" w:color="auto" w:sz="4" w:space="0"/>
            </w:tcBorders>
            <w:shd w:val="clear" w:color="auto" w:fill="E6E6E6"/>
            <w:vAlign w:val="center"/>
          </w:tcPr>
          <w:p>
            <w:pPr>
              <w:numPr>
                <w:ilvl w:val="0"/>
                <w:numId w:val="2"/>
              </w:numPr>
              <w:adjustRightInd w:val="0"/>
              <w:snapToGrid w:val="0"/>
              <w:spacing w:line="360" w:lineRule="auto"/>
              <w:rPr>
                <w:rFonts w:ascii="宋体" w:hAnsi="宋体"/>
                <w:b/>
                <w:lang w:val="zh-CN"/>
              </w:rPr>
            </w:pPr>
            <w:r>
              <w:rPr>
                <w:b/>
              </w:rPr>
              <w:t>填好</w:t>
            </w:r>
            <w:r>
              <w:rPr>
                <w:rFonts w:hint="eastAsia"/>
                <w:b/>
              </w:rPr>
              <w:t>此表</w:t>
            </w:r>
            <w:r>
              <w:rPr>
                <w:b/>
              </w:rPr>
              <w:t>后请附上身份证</w:t>
            </w:r>
            <w:r>
              <w:rPr>
                <w:rFonts w:hint="eastAsia"/>
                <w:b/>
              </w:rPr>
              <w:t>复印件一起传真或发电子邮件到教务处</w:t>
            </w:r>
            <w:r>
              <w:rPr>
                <w:b/>
              </w:rPr>
              <w:t>。</w:t>
            </w:r>
          </w:p>
          <w:p>
            <w:pPr>
              <w:numPr>
                <w:ilvl w:val="0"/>
                <w:numId w:val="2"/>
              </w:numPr>
              <w:snapToGrid w:val="0"/>
              <w:spacing w:line="360" w:lineRule="auto"/>
              <w:rPr>
                <w:rFonts w:eastAsia="Times New Roman"/>
              </w:rPr>
            </w:pPr>
            <w:r>
              <w:rPr>
                <w:rFonts w:hint="eastAsia"/>
                <w:b/>
              </w:rPr>
              <w:t>此表复印或传真均有效，请务必详细真实填写上述信息。</w:t>
            </w:r>
          </w:p>
        </w:tc>
      </w:tr>
    </w:tbl>
    <w:p>
      <w:pPr>
        <w:spacing w:line="300" w:lineRule="auto"/>
        <w:rPr>
          <w:szCs w:val="21"/>
        </w:rPr>
      </w:pPr>
      <w:r>
        <w:rPr>
          <w:b/>
        </w:rPr>
        <w:t>温馨提示：因录取名额有限（60人），为确保您报名成功，</w:t>
      </w:r>
      <w:r>
        <w:fldChar w:fldCharType="begin"/>
      </w:r>
      <w:r>
        <w:instrText xml:space="preserve"> HYPERLINK "mailto:建议您提前一个月将填写完毕的报名申请表发传真至010-62507622或邮件至pkuyxb@163.com" </w:instrText>
      </w:r>
      <w:r>
        <w:fldChar w:fldCharType="separate"/>
      </w:r>
      <w:r>
        <w:rPr>
          <w:b/>
        </w:rPr>
        <w:t>建议您提前一个月将填写完毕的报名申请表发邮件至</w:t>
      </w:r>
      <w:r>
        <w:rPr>
          <w:rFonts w:ascii="Arial" w:hAnsi="Arial" w:cs="Arial"/>
          <w:b/>
          <w:szCs w:val="21"/>
        </w:rPr>
        <w:t>pkuyxb@163.com</w:t>
      </w:r>
      <w:r>
        <w:rPr>
          <w:rFonts w:ascii="Arial" w:hAnsi="Arial" w:cs="Arial"/>
          <w:b/>
          <w:szCs w:val="21"/>
        </w:rPr>
        <w:fldChar w:fldCharType="end"/>
      </w:r>
      <w:r>
        <w:rPr>
          <w:rFonts w:hint="eastAsia" w:ascii="Arial" w:hAnsi="Arial" w:cs="Arial"/>
          <w:szCs w:val="21"/>
        </w:rPr>
        <w:t>张老师（</w:t>
      </w:r>
      <w:r>
        <w:rPr>
          <w:rFonts w:ascii="Arial" w:hAnsi="Arial" w:cs="Arial"/>
          <w:szCs w:val="21"/>
        </w:rPr>
        <w:t>15801019329</w:t>
      </w:r>
      <w:r>
        <w:rPr>
          <w:rFonts w:hint="eastAsia" w:ascii="Arial" w:hAnsi="Arial" w:cs="Arial"/>
          <w:szCs w:val="21"/>
        </w:rPr>
        <w:t>）确认。</w:t>
      </w:r>
    </w:p>
    <w:p>
      <w:pPr>
        <w:spacing w:line="300" w:lineRule="auto"/>
        <w:rPr>
          <w:szCs w:val="21"/>
        </w:rPr>
      </w:pPr>
    </w:p>
    <w:sectPr>
      <w:headerReference r:id="rId3" w:type="default"/>
      <w:headerReference r:id="rId4" w:type="even"/>
      <w:pgSz w:w="11906" w:h="16838"/>
      <w:pgMar w:top="1985" w:right="1106" w:bottom="1440" w:left="141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Lucida Console">
    <w:panose1 w:val="020B0609040504020204"/>
    <w:charset w:val="00"/>
    <w:family w:val="modern"/>
    <w:pitch w:val="default"/>
    <w:sig w:usb0="8000028F" w:usb1="00001800" w:usb2="00000000" w:usb3="00000000" w:csb0="0000001F" w:csb1="D7D70000"/>
  </w:font>
  <w:font w:name="华文中宋">
    <w:altName w:val="宋体"/>
    <w:panose1 w:val="02010600030101010101"/>
    <w:charset w:val="86"/>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r>
      <w:drawing>
        <wp:inline distT="0" distB="0" distL="0" distR="0">
          <wp:extent cx="2909570" cy="400685"/>
          <wp:effectExtent l="0" t="0" r="0" b="0"/>
          <wp:docPr id="2" name="图片 2" descr="页眉－博雅商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博雅商道"/>
                  <pic:cNvPicPr>
                    <a:picLocks noChangeAspect="1" noChangeArrowheads="1"/>
                  </pic:cNvPicPr>
                </pic:nvPicPr>
                <pic:blipFill>
                  <a:blip r:embed="rId1"/>
                  <a:srcRect/>
                  <a:stretch>
                    <a:fillRect/>
                  </a:stretch>
                </pic:blipFill>
                <pic:spPr>
                  <a:xfrm>
                    <a:off x="0" y="0"/>
                    <a:ext cx="2909570" cy="4006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inline distT="0" distB="0" distL="0" distR="0">
          <wp:extent cx="5267325" cy="168529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srcRect/>
                  <a:stretch>
                    <a:fillRect/>
                  </a:stretch>
                </pic:blipFill>
                <pic:spPr>
                  <a:xfrm>
                    <a:off x="0" y="0"/>
                    <a:ext cx="5267325" cy="16852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428A7CCE"/>
    <w:multiLevelType w:val="multilevel"/>
    <w:tmpl w:val="428A7CCE"/>
    <w:lvl w:ilvl="0" w:tentative="0">
      <w:start w:val="0"/>
      <w:numFmt w:val="bullet"/>
      <w:lvlText w:val="●"/>
      <w:lvlJc w:val="left"/>
      <w:pPr>
        <w:ind w:left="360" w:hanging="360"/>
      </w:pPr>
      <w:rPr>
        <w:rFonts w:hint="eastAsia" w:ascii="Adobe 宋体 Std L" w:hAnsi="Adobe 宋体 Std L" w:eastAsia="Adobe 宋体 Std L" w:cs="宋体"/>
        <w:b/>
        <w:color w:val="9E2428"/>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6B74"/>
    <w:rsid w:val="00050FA7"/>
    <w:rsid w:val="000A17A4"/>
    <w:rsid w:val="000D0104"/>
    <w:rsid w:val="00120AA3"/>
    <w:rsid w:val="00124BD7"/>
    <w:rsid w:val="00172A27"/>
    <w:rsid w:val="00204DD2"/>
    <w:rsid w:val="00213292"/>
    <w:rsid w:val="00245029"/>
    <w:rsid w:val="00257648"/>
    <w:rsid w:val="002C5881"/>
    <w:rsid w:val="002E0FA6"/>
    <w:rsid w:val="00322430"/>
    <w:rsid w:val="00346C98"/>
    <w:rsid w:val="00362AD1"/>
    <w:rsid w:val="00377E60"/>
    <w:rsid w:val="00381C58"/>
    <w:rsid w:val="003A60F6"/>
    <w:rsid w:val="003A7252"/>
    <w:rsid w:val="00421DE2"/>
    <w:rsid w:val="00457331"/>
    <w:rsid w:val="00473BEA"/>
    <w:rsid w:val="004805F4"/>
    <w:rsid w:val="004E4ECC"/>
    <w:rsid w:val="004E63E5"/>
    <w:rsid w:val="005C434F"/>
    <w:rsid w:val="006736D9"/>
    <w:rsid w:val="006F20BC"/>
    <w:rsid w:val="007314C3"/>
    <w:rsid w:val="0077214E"/>
    <w:rsid w:val="00780729"/>
    <w:rsid w:val="008427B1"/>
    <w:rsid w:val="00845F91"/>
    <w:rsid w:val="00856D9D"/>
    <w:rsid w:val="00881027"/>
    <w:rsid w:val="00992D0A"/>
    <w:rsid w:val="00AE6CEF"/>
    <w:rsid w:val="00C23E9F"/>
    <w:rsid w:val="00C5748A"/>
    <w:rsid w:val="00C72938"/>
    <w:rsid w:val="00CD2230"/>
    <w:rsid w:val="00D02602"/>
    <w:rsid w:val="00D26AB6"/>
    <w:rsid w:val="00D409E6"/>
    <w:rsid w:val="00D57815"/>
    <w:rsid w:val="00D61CAB"/>
    <w:rsid w:val="00D64047"/>
    <w:rsid w:val="00DE137D"/>
    <w:rsid w:val="00DE7968"/>
    <w:rsid w:val="00E03C03"/>
    <w:rsid w:val="00EF5F34"/>
    <w:rsid w:val="00F21E98"/>
    <w:rsid w:val="00F3132C"/>
    <w:rsid w:val="00F4551D"/>
    <w:rsid w:val="00F977C5"/>
    <w:rsid w:val="00FE2C68"/>
    <w:rsid w:val="01A11110"/>
    <w:rsid w:val="02BE1CC0"/>
    <w:rsid w:val="0729334D"/>
    <w:rsid w:val="08A0123C"/>
    <w:rsid w:val="0A436A63"/>
    <w:rsid w:val="1B61067A"/>
    <w:rsid w:val="21861909"/>
    <w:rsid w:val="22727213"/>
    <w:rsid w:val="235A3294"/>
    <w:rsid w:val="27983F8A"/>
    <w:rsid w:val="2A423ED4"/>
    <w:rsid w:val="2A9C7813"/>
    <w:rsid w:val="2DAB4F17"/>
    <w:rsid w:val="2EBB5FB9"/>
    <w:rsid w:val="32E56C94"/>
    <w:rsid w:val="348E3E46"/>
    <w:rsid w:val="357245B8"/>
    <w:rsid w:val="397015C5"/>
    <w:rsid w:val="3AA87088"/>
    <w:rsid w:val="3FA62879"/>
    <w:rsid w:val="43195C4A"/>
    <w:rsid w:val="474F068C"/>
    <w:rsid w:val="4A8A0A90"/>
    <w:rsid w:val="4E914A98"/>
    <w:rsid w:val="4F942910"/>
    <w:rsid w:val="52686D40"/>
    <w:rsid w:val="547E5AFF"/>
    <w:rsid w:val="5A420BA5"/>
    <w:rsid w:val="6253185F"/>
    <w:rsid w:val="65503446"/>
    <w:rsid w:val="65934D6B"/>
    <w:rsid w:val="659A6CC3"/>
    <w:rsid w:val="66C04E22"/>
    <w:rsid w:val="68BB5EE1"/>
    <w:rsid w:val="6AD81353"/>
    <w:rsid w:val="6E0F4399"/>
    <w:rsid w:val="75DD1EEC"/>
    <w:rsid w:val="7C7B2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locked/>
    <w:uiPriority w:val="0"/>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29"/>
    <w:qFormat/>
    <w:locked/>
    <w:uiPriority w:val="0"/>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25"/>
    <w:qFormat/>
    <w:locked/>
    <w:uiPriority w:val="0"/>
    <w:pPr>
      <w:keepNext/>
      <w:keepLines/>
      <w:spacing w:before="260" w:after="260" w:line="413" w:lineRule="auto"/>
      <w:outlineLvl w:val="2"/>
    </w:pPr>
    <w:rPr>
      <w:rFonts w:ascii="Times New Roman" w:hAnsi="Times New Roman"/>
      <w:b/>
      <w:kern w:val="0"/>
      <w:sz w:val="32"/>
      <w:szCs w:val="20"/>
    </w:rPr>
  </w:style>
  <w:style w:type="character" w:default="1" w:styleId="11">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annotation text"/>
    <w:basedOn w:val="1"/>
    <w:link w:val="30"/>
    <w:qFormat/>
    <w:uiPriority w:val="0"/>
    <w:pPr>
      <w:jc w:val="left"/>
    </w:pPr>
    <w:rPr>
      <w:rFonts w:hint="eastAsia"/>
    </w:rPr>
  </w:style>
  <w:style w:type="paragraph" w:styleId="6">
    <w:name w:val="Balloon Text"/>
    <w:basedOn w:val="1"/>
    <w:link w:val="33"/>
    <w:qFormat/>
    <w:uiPriority w:val="0"/>
    <w:rPr>
      <w:sz w:val="18"/>
      <w:szCs w:val="18"/>
    </w:rPr>
  </w:style>
  <w:style w:type="paragraph" w:styleId="7">
    <w:name w:val="footer"/>
    <w:basedOn w:val="1"/>
    <w:link w:val="31"/>
    <w:qFormat/>
    <w:uiPriority w:val="0"/>
    <w:pPr>
      <w:tabs>
        <w:tab w:val="center" w:pos="4153"/>
        <w:tab w:val="right" w:pos="8306"/>
      </w:tabs>
      <w:snapToGrid w:val="0"/>
      <w:jc w:val="left"/>
    </w:pPr>
    <w:rPr>
      <w:sz w:val="18"/>
      <w:szCs w:val="18"/>
    </w:rPr>
  </w:style>
  <w:style w:type="paragraph" w:styleId="8">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0">
    <w:name w:val="Title"/>
    <w:basedOn w:val="1"/>
    <w:next w:val="1"/>
    <w:link w:val="23"/>
    <w:qFormat/>
    <w:locked/>
    <w:uiPriority w:val="0"/>
    <w:pPr>
      <w:spacing w:before="240" w:after="60"/>
      <w:jc w:val="center"/>
      <w:outlineLvl w:val="0"/>
    </w:pPr>
    <w:rPr>
      <w:rFonts w:ascii="Calibri Light" w:hAnsi="Calibri Light"/>
      <w:b/>
      <w:sz w:val="32"/>
      <w:szCs w:val="32"/>
    </w:rPr>
  </w:style>
  <w:style w:type="character" w:styleId="12">
    <w:name w:val="Strong"/>
    <w:basedOn w:val="11"/>
    <w:qFormat/>
    <w:locked/>
    <w:uiPriority w:val="0"/>
    <w:rPr>
      <w:b/>
      <w:bCs/>
    </w:rPr>
  </w:style>
  <w:style w:type="character" w:styleId="13">
    <w:name w:val="Hyperlink"/>
    <w:basedOn w:val="11"/>
    <w:unhideWhenUsed/>
    <w:qFormat/>
    <w:uiPriority w:val="99"/>
    <w:rPr>
      <w:color w:val="6D6D6D"/>
      <w:u w:val="none"/>
    </w:rPr>
  </w:style>
  <w:style w:type="character" w:styleId="14">
    <w:name w:val="annotation reference"/>
    <w:basedOn w:val="11"/>
    <w:qFormat/>
    <w:uiPriority w:val="0"/>
    <w:rPr>
      <w:sz w:val="21"/>
      <w:szCs w:val="21"/>
    </w:rPr>
  </w:style>
  <w:style w:type="table" w:styleId="16">
    <w:name w:val="Table Grid"/>
    <w:basedOn w:val="15"/>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
    <w:name w:val="[基本段落]"/>
    <w:basedOn w:val="1"/>
    <w:unhideWhenUsed/>
    <w:qFormat/>
    <w:uiPriority w:val="99"/>
    <w:pPr>
      <w:autoSpaceDE w:val="0"/>
      <w:autoSpaceDN w:val="0"/>
      <w:spacing w:line="288" w:lineRule="auto"/>
      <w:textAlignment w:val="center"/>
    </w:pPr>
    <w:rPr>
      <w:rFonts w:hint="eastAsia" w:ascii="Adobe 宋体 Std L" w:eastAsia="Adobe 宋体 Std L"/>
      <w:color w:val="000000"/>
      <w:sz w:val="24"/>
      <w:lang w:val="zh-CN"/>
    </w:rPr>
  </w:style>
  <w:style w:type="paragraph" w:customStyle="1" w:styleId="18">
    <w:name w:val="p0"/>
    <w:basedOn w:val="1"/>
    <w:qFormat/>
    <w:uiPriority w:val="0"/>
    <w:pPr>
      <w:widowControl/>
    </w:pPr>
    <w:rPr>
      <w:rFonts w:ascii="Times New Roman" w:hAnsi="Times New Roman"/>
      <w:kern w:val="0"/>
      <w:szCs w:val="21"/>
    </w:rPr>
  </w:style>
  <w:style w:type="paragraph" w:customStyle="1" w:styleId="19">
    <w:name w:val="msolistparagraph"/>
    <w:basedOn w:val="1"/>
    <w:qFormat/>
    <w:uiPriority w:val="0"/>
    <w:pPr>
      <w:ind w:firstLine="420" w:firstLineChars="200"/>
    </w:pPr>
  </w:style>
  <w:style w:type="paragraph" w:customStyle="1" w:styleId="20">
    <w:name w:val="列出段落1"/>
    <w:basedOn w:val="1"/>
    <w:qFormat/>
    <w:uiPriority w:val="34"/>
    <w:pPr>
      <w:ind w:firstLine="420" w:firstLineChars="200"/>
    </w:pPr>
  </w:style>
  <w:style w:type="paragraph" w:customStyle="1" w:styleId="21">
    <w:name w:val="日期1"/>
    <w:basedOn w:val="1"/>
    <w:next w:val="1"/>
    <w:link w:val="26"/>
    <w:qFormat/>
    <w:uiPriority w:val="0"/>
    <w:pPr>
      <w:ind w:left="100" w:leftChars="2500"/>
    </w:pPr>
  </w:style>
  <w:style w:type="character" w:customStyle="1" w:styleId="22">
    <w:name w:val="15"/>
    <w:basedOn w:val="11"/>
    <w:qFormat/>
    <w:uiPriority w:val="0"/>
    <w:rPr>
      <w:rFonts w:hint="default" w:ascii="Times New Roman" w:hAnsi="Times New Roman" w:cs="Times New Roman"/>
      <w:b/>
      <w:bCs/>
    </w:rPr>
  </w:style>
  <w:style w:type="character" w:customStyle="1" w:styleId="23">
    <w:name w:val="标题 Char"/>
    <w:basedOn w:val="11"/>
    <w:link w:val="10"/>
    <w:qFormat/>
    <w:uiPriority w:val="0"/>
    <w:rPr>
      <w:rFonts w:hint="default" w:ascii="Calibri Light" w:hAnsi="Calibri Light" w:eastAsia="宋体" w:cs="Times New Roman"/>
      <w:b/>
      <w:sz w:val="32"/>
      <w:szCs w:val="32"/>
    </w:rPr>
  </w:style>
  <w:style w:type="character" w:customStyle="1" w:styleId="24">
    <w:name w:val="页眉 Char1"/>
    <w:basedOn w:val="11"/>
    <w:unhideWhenUsed/>
    <w:qFormat/>
    <w:uiPriority w:val="99"/>
    <w:rPr>
      <w:rFonts w:hint="default" w:ascii="Calibri"/>
      <w:kern w:val="2"/>
      <w:sz w:val="18"/>
    </w:rPr>
  </w:style>
  <w:style w:type="character" w:customStyle="1" w:styleId="25">
    <w:name w:val="标题 3 Char"/>
    <w:link w:val="4"/>
    <w:qFormat/>
    <w:uiPriority w:val="0"/>
    <w:rPr>
      <w:b/>
      <w:sz w:val="32"/>
    </w:rPr>
  </w:style>
  <w:style w:type="character" w:customStyle="1" w:styleId="26">
    <w:name w:val="日期 Char"/>
    <w:basedOn w:val="11"/>
    <w:link w:val="21"/>
    <w:semiHidden/>
    <w:qFormat/>
    <w:locked/>
    <w:uiPriority w:val="0"/>
    <w:rPr>
      <w:rFonts w:cs="Times New Roman"/>
    </w:rPr>
  </w:style>
  <w:style w:type="character" w:customStyle="1" w:styleId="27">
    <w:name w:val="reply-summary-text"/>
    <w:basedOn w:val="11"/>
    <w:qFormat/>
    <w:uiPriority w:val="0"/>
  </w:style>
  <w:style w:type="character" w:customStyle="1" w:styleId="28">
    <w:name w:val="标题 1 Char"/>
    <w:link w:val="2"/>
    <w:qFormat/>
    <w:uiPriority w:val="0"/>
    <w:rPr>
      <w:b/>
      <w:kern w:val="44"/>
      <w:sz w:val="44"/>
    </w:rPr>
  </w:style>
  <w:style w:type="character" w:customStyle="1" w:styleId="29">
    <w:name w:val="标题 2 Char"/>
    <w:link w:val="3"/>
    <w:qFormat/>
    <w:uiPriority w:val="0"/>
    <w:rPr>
      <w:rFonts w:ascii="Arial" w:hAnsi="Arial" w:eastAsia="黑体"/>
      <w:b/>
      <w:sz w:val="32"/>
    </w:rPr>
  </w:style>
  <w:style w:type="character" w:customStyle="1" w:styleId="30">
    <w:name w:val="批注文字 Char"/>
    <w:basedOn w:val="11"/>
    <w:link w:val="5"/>
    <w:unhideWhenUsed/>
    <w:qFormat/>
    <w:uiPriority w:val="0"/>
    <w:rPr>
      <w:rFonts w:hint="default" w:ascii="Calibri"/>
      <w:kern w:val="2"/>
      <w:sz w:val="22"/>
    </w:rPr>
  </w:style>
  <w:style w:type="character" w:customStyle="1" w:styleId="31">
    <w:name w:val="页脚 Char"/>
    <w:basedOn w:val="11"/>
    <w:link w:val="7"/>
    <w:semiHidden/>
    <w:qFormat/>
    <w:locked/>
    <w:uiPriority w:val="0"/>
    <w:rPr>
      <w:rFonts w:cs="Times New Roman"/>
      <w:sz w:val="18"/>
      <w:szCs w:val="18"/>
    </w:rPr>
  </w:style>
  <w:style w:type="character" w:customStyle="1" w:styleId="32">
    <w:name w:val="页眉 Char"/>
    <w:basedOn w:val="11"/>
    <w:link w:val="8"/>
    <w:semiHidden/>
    <w:qFormat/>
    <w:locked/>
    <w:uiPriority w:val="0"/>
    <w:rPr>
      <w:rFonts w:cs="Times New Roman"/>
      <w:sz w:val="18"/>
      <w:szCs w:val="18"/>
    </w:rPr>
  </w:style>
  <w:style w:type="character" w:customStyle="1" w:styleId="33">
    <w:name w:val="批注框文本 Char"/>
    <w:basedOn w:val="11"/>
    <w:link w:val="6"/>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30"/>
    <customShpInfo spid="_x0000_s1032"/>
    <customShpInfo spid="_x0000_s1034"/>
    <customShpInfo spid="_x0000_s1036"/>
    <customShpInfo spid="_x0000_s1042"/>
    <customShpInfo spid="_x0000_s1043"/>
    <customShpInfo spid="_x0000_s1044"/>
    <customShpInfo spid="_x0000_s1045"/>
    <customShpInfo spid="_x0000_s1046"/>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1024</Words>
  <Characters>5839</Characters>
  <Lines>48</Lines>
  <Paragraphs>13</Paragraphs>
  <ScaleCrop>false</ScaleCrop>
  <LinksUpToDate>false</LinksUpToDate>
  <CharactersWithSpaces>6850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2015-07-01T06:06:00Z</dcterms:created>
  <dc:creator>微软中国</dc:creator>
  <cp:lastModifiedBy>Administrator</cp:lastModifiedBy>
  <cp:lastPrinted>2014-11-12T07:59:00Z</cp:lastPrinted>
  <dcterms:modified xsi:type="dcterms:W3CDTF">2018-04-24T08:36:23Z</dcterms:modified>
  <dc:title>成就中国卓越董事长的黄埔一期热招中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