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63360" behindDoc="0" locked="0" layoutInCell="1" allowOverlap="1">
            <wp:simplePos x="0" y="0"/>
            <wp:positionH relativeFrom="column">
              <wp:posOffset>-900430</wp:posOffset>
            </wp:positionH>
            <wp:positionV relativeFrom="paragraph">
              <wp:posOffset>-666750</wp:posOffset>
            </wp:positionV>
            <wp:extent cx="7562215" cy="10697210"/>
            <wp:effectExtent l="0" t="0" r="635" b="952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2451" cy="10697208"/>
                    </a:xfrm>
                    <a:prstGeom prst="rect">
                      <a:avLst/>
                    </a:prstGeom>
                  </pic:spPr>
                </pic:pic>
              </a:graphicData>
            </a:graphic>
          </wp:anchor>
        </w:drawing>
      </w:r>
    </w:p>
    <w:p/>
    <w:p/>
    <w:p/>
    <w:p/>
    <w:p/>
    <w:p/>
    <w:p/>
    <w:p>
      <w:pPr>
        <w:rPr>
          <w:sz w:val="48"/>
          <w:szCs w:val="48"/>
        </w:rPr>
      </w:pPr>
    </w:p>
    <w:p>
      <w:pPr>
        <w:rPr>
          <w:sz w:val="48"/>
          <w:szCs w:val="48"/>
        </w:rPr>
      </w:pPr>
    </w:p>
    <w:p>
      <w:pPr>
        <w:rPr>
          <w:sz w:val="48"/>
          <w:szCs w:val="48"/>
        </w:rPr>
      </w:pPr>
    </w:p>
    <w:p>
      <w:pPr>
        <w:rPr>
          <w:sz w:val="48"/>
          <w:szCs w:val="48"/>
        </w:rPr>
      </w:pPr>
    </w:p>
    <w:p>
      <w:pPr>
        <w:rPr>
          <w:sz w:val="48"/>
          <w:szCs w:val="48"/>
        </w:rPr>
      </w:pPr>
    </w:p>
    <w:p>
      <w:pPr>
        <w:rPr>
          <w:sz w:val="48"/>
          <w:szCs w:val="48"/>
        </w:rPr>
      </w:pPr>
    </w:p>
    <w:p>
      <w:pPr>
        <w:rPr>
          <w:sz w:val="48"/>
          <w:szCs w:val="48"/>
        </w:rPr>
      </w:pPr>
    </w:p>
    <w:p>
      <w:pPr>
        <w:rPr>
          <w:sz w:val="48"/>
          <w:szCs w:val="48"/>
        </w:rPr>
      </w:pPr>
    </w:p>
    <w:p>
      <w:pPr>
        <w:rPr>
          <w:sz w:val="48"/>
          <w:szCs w:val="48"/>
        </w:rPr>
      </w:pPr>
    </w:p>
    <w:p>
      <w:pPr>
        <w:rPr>
          <w:sz w:val="48"/>
          <w:szCs w:val="48"/>
        </w:rPr>
      </w:pPr>
    </w:p>
    <w:p>
      <w:pPr>
        <w:rPr>
          <w:sz w:val="48"/>
          <w:szCs w:val="48"/>
        </w:rPr>
      </w:pPr>
    </w:p>
    <w:p>
      <w:pPr>
        <w:rPr>
          <w:sz w:val="48"/>
          <w:szCs w:val="48"/>
        </w:rPr>
      </w:pPr>
    </w:p>
    <w:p>
      <w:pPr>
        <w:rPr>
          <w:sz w:val="48"/>
          <w:szCs w:val="48"/>
        </w:rPr>
      </w:pPr>
    </w:p>
    <w:p>
      <w:pPr>
        <w:rPr>
          <w:sz w:val="48"/>
          <w:szCs w:val="48"/>
        </w:rPr>
      </w:pPr>
    </w:p>
    <w:p>
      <w:pPr>
        <w:rPr>
          <w:sz w:val="48"/>
          <w:szCs w:val="48"/>
        </w:rPr>
      </w:pPr>
    </w:p>
    <w:p>
      <w:pPr>
        <w:rPr>
          <w:sz w:val="48"/>
          <w:szCs w:val="48"/>
        </w:rPr>
      </w:pPr>
    </w:p>
    <w:p>
      <w:pPr>
        <w:rPr>
          <w:sz w:val="48"/>
          <w:szCs w:val="48"/>
        </w:rPr>
      </w:pPr>
    </w:p>
    <w:p>
      <w:pPr>
        <w:rPr>
          <w:sz w:val="48"/>
          <w:szCs w:val="48"/>
        </w:rPr>
      </w:pPr>
    </w:p>
    <w:p>
      <w:pPr>
        <w:rPr>
          <w:sz w:val="48"/>
          <w:szCs w:val="48"/>
        </w:rPr>
      </w:pPr>
    </w:p>
    <w:p/>
    <w:p>
      <w:pPr>
        <w:spacing w:afterLines="50" w:line="360" w:lineRule="exact"/>
        <w:rPr>
          <w:color w:val="FF0000"/>
        </w:rPr>
      </w:pPr>
      <w:r>
        <w:rPr>
          <w:rFonts w:hint="eastAsia"/>
          <w:color w:val="FF0000"/>
        </w:rPr>
        <w:drawing>
          <wp:anchor distT="0" distB="0" distL="114300" distR="114300" simplePos="0" relativeHeight="251680768" behindDoc="0" locked="0" layoutInCell="1" allowOverlap="1">
            <wp:simplePos x="0" y="0"/>
            <wp:positionH relativeFrom="column">
              <wp:posOffset>-386080</wp:posOffset>
            </wp:positionH>
            <wp:positionV relativeFrom="paragraph">
              <wp:posOffset>-387350</wp:posOffset>
            </wp:positionV>
            <wp:extent cx="6591300" cy="65341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91300" cy="653317"/>
                    </a:xfrm>
                    <a:prstGeom prst="rect">
                      <a:avLst/>
                    </a:prstGeom>
                  </pic:spPr>
                </pic:pic>
              </a:graphicData>
            </a:graphic>
          </wp:anchor>
        </w:drawing>
      </w:r>
      <w:r>
        <w:rPr>
          <w:rFonts w:hint="eastAsia"/>
          <w:color w:val="FF0000"/>
        </w:rPr>
        <w:drawing>
          <wp:anchor distT="0" distB="0" distL="114300" distR="114300" simplePos="0" relativeHeight="251664384" behindDoc="0" locked="0" layoutInCell="1" allowOverlap="1">
            <wp:simplePos x="0" y="0"/>
            <wp:positionH relativeFrom="column">
              <wp:posOffset>-52705</wp:posOffset>
            </wp:positionH>
            <wp:positionV relativeFrom="paragraph">
              <wp:posOffset>218440</wp:posOffset>
            </wp:positionV>
            <wp:extent cx="2118360" cy="79248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18358" cy="792480"/>
                    </a:xfrm>
                    <a:prstGeom prst="rect">
                      <a:avLst/>
                    </a:prstGeom>
                  </pic:spPr>
                </pic:pic>
              </a:graphicData>
            </a:graphic>
          </wp:anchor>
        </w:drawing>
      </w:r>
    </w:p>
    <w:p>
      <w:pPr>
        <w:spacing w:afterLines="50" w:line="360" w:lineRule="exact"/>
      </w:pPr>
    </w:p>
    <w:p>
      <w:pPr>
        <w:spacing w:afterLines="50" w:line="360" w:lineRule="exact"/>
      </w:pPr>
    </w:p>
    <w:p>
      <w:pPr>
        <w:spacing w:afterLines="50" w:line="320" w:lineRule="exact"/>
        <w:rPr>
          <w:szCs w:val="21"/>
        </w:rPr>
      </w:pPr>
      <w:r>
        <w:rPr>
          <w:rFonts w:hint="eastAsia"/>
          <w:szCs w:val="21"/>
        </w:rPr>
        <w:t>曾被认为是“中国经济发动机”的地产行业风光不再，“白银时代”的到来使得房地产企业必须不断加强创新和转型力度，方能适应经济新常态。在这一背景下，地产企业跨界融合、市场细分、走向多元化，成为业界共识。</w:t>
      </w:r>
    </w:p>
    <w:p>
      <w:pPr>
        <w:spacing w:afterLines="50" w:line="320" w:lineRule="exact"/>
        <w:rPr>
          <w:szCs w:val="21"/>
        </w:rPr>
      </w:pPr>
      <w:r>
        <w:rPr>
          <w:rFonts w:hint="eastAsia"/>
          <w:szCs w:val="21"/>
        </w:rPr>
        <w:t>　　◆细分市场一，商业地产在住宅市场的政策调控压力下，开发商及投资者逐渐将目光转向商业地产。万科、龙湖、首创、华远等企业已先后做出战略调整，加码商业地产以谋求产品多元化。</w:t>
      </w:r>
    </w:p>
    <w:p>
      <w:pPr>
        <w:spacing w:afterLines="50" w:line="320" w:lineRule="exact"/>
        <w:ind w:firstLine="420"/>
        <w:rPr>
          <w:szCs w:val="21"/>
        </w:rPr>
      </w:pPr>
      <w:r>
        <w:rPr>
          <w:rFonts w:hint="eastAsia"/>
          <w:szCs w:val="21"/>
        </w:rPr>
        <w:t>◆细分市场二，城市综合体城镇化建设作为国家战略的推出，让不少企业在业务中越来越注重产业和城市运营、产业支撑和住宅开发的有机结合。随着城镇化的持续推进，土地溢价、房产销售、园区开发和服务等带来的稳健收益，都将成为一些综合运营房企的重要增长点</w:t>
      </w:r>
    </w:p>
    <w:p>
      <w:pPr>
        <w:spacing w:afterLines="50" w:line="320" w:lineRule="exact"/>
        <w:ind w:firstLine="210" w:firstLineChars="100"/>
        <w:rPr>
          <w:szCs w:val="21"/>
        </w:rPr>
      </w:pPr>
      <w:r>
        <w:rPr>
          <w:rFonts w:hint="eastAsia"/>
          <w:szCs w:val="21"/>
        </w:rPr>
        <w:t>　◆细分市场三，养老地产随着我国老龄化现象日益严重，养老问题逐渐成为社会难题，受到广泛关注，不少大型开发商将养老地产列入战略业务，如万科、保利等行业巨头已经开始谨慎试水。未来养老地产有望成为新的行业增长点。</w:t>
      </w:r>
    </w:p>
    <w:p>
      <w:pPr>
        <w:spacing w:afterLines="50" w:line="320" w:lineRule="exact"/>
        <w:rPr>
          <w:szCs w:val="21"/>
        </w:rPr>
      </w:pPr>
      <w:r>
        <w:rPr>
          <w:rFonts w:hint="eastAsia"/>
          <w:color w:val="FF0000"/>
          <w:szCs w:val="21"/>
        </w:rPr>
        <w:drawing>
          <wp:anchor distT="0" distB="0" distL="114300" distR="114300" simplePos="0" relativeHeight="251666432" behindDoc="0" locked="0" layoutInCell="1" allowOverlap="1">
            <wp:simplePos x="0" y="0"/>
            <wp:positionH relativeFrom="column">
              <wp:posOffset>-51435</wp:posOffset>
            </wp:positionH>
            <wp:positionV relativeFrom="paragraph">
              <wp:posOffset>1022350</wp:posOffset>
            </wp:positionV>
            <wp:extent cx="2117725" cy="79184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7725" cy="791845"/>
                    </a:xfrm>
                    <a:prstGeom prst="rect">
                      <a:avLst/>
                    </a:prstGeom>
                  </pic:spPr>
                </pic:pic>
              </a:graphicData>
            </a:graphic>
          </wp:anchor>
        </w:drawing>
      </w:r>
      <w:r>
        <w:rPr>
          <w:rFonts w:hint="eastAsia"/>
          <w:szCs w:val="21"/>
        </w:rPr>
        <w:t>国内商业地产、产业地产高素质人才匮乏，大专院校缺失相关学历课程和文凭教育，从业人员更是缺少系统的、完整的学习与训练。针对于此，高景亚太商学院特邀北京大学房地产项目组、标杆房地产企业商业地产一线操盘专家共同研发策划，专为商业地产、产业地产企业董事长、总裁等高级管理人员量身定制，以提供系统学习方案、问题解决方案的“标杆房地产地产总裁集训营（商业地产、产业地产、文旅地产方向）”正式问世！</w:t>
      </w:r>
    </w:p>
    <w:p>
      <w:pPr>
        <w:rPr>
          <w:color w:val="FF0000"/>
          <w:sz w:val="24"/>
          <w:szCs w:val="24"/>
        </w:rPr>
      </w:pPr>
    </w:p>
    <w:p>
      <w:pPr>
        <w:rPr>
          <w:sz w:val="24"/>
          <w:szCs w:val="24"/>
        </w:rPr>
      </w:pPr>
    </w:p>
    <w:p>
      <w:pPr>
        <w:rPr>
          <w:sz w:val="24"/>
          <w:szCs w:val="24"/>
        </w:rPr>
      </w:pPr>
    </w:p>
    <w:p>
      <w:pPr>
        <w:snapToGrid w:val="0"/>
        <w:spacing w:line="360" w:lineRule="exact"/>
      </w:pPr>
      <w:r>
        <w:rPr>
          <w:rFonts w:hint="eastAsia"/>
        </w:rPr>
        <w:t>1、强势集结五位业内地产精英导师，系统剖析商业地产、产业地产、文旅地产；</w:t>
      </w:r>
    </w:p>
    <w:p>
      <w:pPr>
        <w:snapToGrid w:val="0"/>
        <w:spacing w:line="360" w:lineRule="exact"/>
        <w:outlineLvl w:val="0"/>
      </w:pPr>
      <w:r>
        <w:rPr>
          <w:rFonts w:hint="eastAsia"/>
        </w:rPr>
        <w:t>2、学员四个月浸入式学习，6个标杆案例参访，纵深思辨，现场取经；</w:t>
      </w:r>
    </w:p>
    <w:p>
      <w:pPr>
        <w:snapToGrid w:val="0"/>
        <w:spacing w:line="360" w:lineRule="exact"/>
      </w:pPr>
      <w:r>
        <w:rPr>
          <w:rFonts w:hint="eastAsia"/>
        </w:rPr>
        <w:t>3、现场考察-系统授课-答疑互动-私享晚宴，超越课堂的学习方式；</w:t>
      </w:r>
    </w:p>
    <w:p>
      <w:pPr>
        <w:snapToGrid w:val="0"/>
        <w:spacing w:line="360" w:lineRule="exact"/>
      </w:pPr>
      <w:r>
        <w:rPr>
          <w:rFonts w:hint="eastAsia"/>
        </w:rPr>
        <w:t>4、面对面与导师探讨存在的个性化问题/管理落地问题，深度剖析并进行辅导；</w:t>
      </w:r>
    </w:p>
    <w:p>
      <w:pPr>
        <w:snapToGrid w:val="0"/>
        <w:spacing w:line="360" w:lineRule="exact"/>
      </w:pPr>
      <w:r>
        <w:rPr>
          <w:rFonts w:hint="eastAsia"/>
        </w:rPr>
        <w:t>5、全方位立体化的支持：资深顾问团队进行课前调研诊断、课后深度辅导落地；</w:t>
      </w:r>
    </w:p>
    <w:p>
      <w:pPr>
        <w:snapToGrid w:val="0"/>
        <w:spacing w:line="360" w:lineRule="exact"/>
      </w:pPr>
      <w:r>
        <w:rPr>
          <w:rFonts w:hint="eastAsia"/>
        </w:rPr>
        <w:t>6、一大平台，三个细分业态研究方向，课程分为：</w:t>
      </w:r>
      <w:r>
        <w:rPr>
          <w:rFonts w:hint="eastAsia"/>
          <w:b/>
        </w:rPr>
        <w:t>商业地产、产业地产、文旅地产</w:t>
      </w:r>
    </w:p>
    <w:p>
      <w:pPr>
        <w:rPr>
          <w:color w:val="FF0000"/>
        </w:rPr>
      </w:pPr>
      <w:r>
        <w:rPr>
          <w:rFonts w:hint="eastAsia"/>
          <w:color w:val="FF0000"/>
          <w:szCs w:val="21"/>
        </w:rPr>
        <w:drawing>
          <wp:anchor distT="0" distB="0" distL="114300" distR="114300" simplePos="0" relativeHeight="251668480" behindDoc="0" locked="0" layoutInCell="1" allowOverlap="1">
            <wp:simplePos x="0" y="0"/>
            <wp:positionH relativeFrom="column">
              <wp:posOffset>-52705</wp:posOffset>
            </wp:positionH>
            <wp:positionV relativeFrom="paragraph">
              <wp:posOffset>47625</wp:posOffset>
            </wp:positionV>
            <wp:extent cx="2116455" cy="79184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6455" cy="791767"/>
                    </a:xfrm>
                    <a:prstGeom prst="rect">
                      <a:avLst/>
                    </a:prstGeom>
                  </pic:spPr>
                </pic:pic>
              </a:graphicData>
            </a:graphic>
          </wp:anchor>
        </w:drawing>
      </w:r>
    </w:p>
    <w:p>
      <w:pPr>
        <w:rPr>
          <w:color w:val="FF0000"/>
        </w:rPr>
      </w:pPr>
    </w:p>
    <w:p>
      <w:pPr>
        <w:rPr>
          <w:color w:val="FF0000"/>
        </w:rPr>
      </w:pPr>
    </w:p>
    <w:p>
      <w:pPr>
        <w:rPr>
          <w:b/>
        </w:rPr>
      </w:pPr>
    </w:p>
    <w:p>
      <w:pPr>
        <w:snapToGrid w:val="0"/>
        <w:spacing w:line="360" w:lineRule="exact"/>
        <w:rPr>
          <w:b/>
        </w:rPr>
      </w:pPr>
      <w:r>
        <w:rPr>
          <w:rFonts w:hint="eastAsia"/>
          <w:b/>
        </w:rPr>
        <w:t>本课程为房地产企业董事长、总裁，总经理、副总等核心管理层量身定做</w:t>
      </w:r>
    </w:p>
    <w:p>
      <w:pPr>
        <w:snapToGrid w:val="0"/>
        <w:spacing w:line="360" w:lineRule="exact"/>
      </w:pPr>
      <w:r>
        <w:rPr>
          <w:rFonts w:hint="eastAsia"/>
        </w:rPr>
        <w:t>1、</w:t>
      </w:r>
      <w:r>
        <w:t>从核心管理层的角度</w:t>
      </w:r>
      <w:r>
        <w:rPr>
          <w:rFonts w:hint="eastAsia"/>
        </w:rPr>
        <w:t>出发</w:t>
      </w:r>
      <w:r>
        <w:t>，系统化学习单项目操盘、多项目管理的顶层设计原则</w:t>
      </w:r>
      <w:r>
        <w:rPr>
          <w:rFonts w:hint="eastAsia"/>
        </w:rPr>
        <w:t>；</w:t>
      </w:r>
    </w:p>
    <w:p>
      <w:pPr>
        <w:snapToGrid w:val="0"/>
        <w:spacing w:line="360" w:lineRule="exact"/>
        <w:outlineLvl w:val="0"/>
      </w:pPr>
      <w:r>
        <w:rPr>
          <w:rFonts w:hint="eastAsia"/>
        </w:rPr>
        <w:t>2、</w:t>
      </w:r>
      <w:r>
        <w:t>用国内外丰富与先进的案例警醒企业，规避开发风险与管理</w:t>
      </w:r>
      <w:r>
        <w:rPr>
          <w:rFonts w:hint="eastAsia"/>
        </w:rPr>
        <w:t>误区；</w:t>
      </w:r>
    </w:p>
    <w:p>
      <w:pPr>
        <w:snapToGrid w:val="0"/>
        <w:spacing w:line="360" w:lineRule="exact"/>
      </w:pPr>
      <w:r>
        <w:rPr>
          <w:rFonts w:hint="eastAsia"/>
        </w:rPr>
        <w:t>3、</w:t>
      </w:r>
      <w:r>
        <w:t>理清从城市拓展拿地、项目定位测算、建筑规划设计至招商筹备实施、开业落地经营、融资与轻资产等完整阶段的总裁思维关注点，完善战略决策流程与顺序，助推企业实施管理的清晰化与无缝隙，实现住宅地产到</w:t>
      </w:r>
      <w:r>
        <w:rPr>
          <w:rFonts w:hint="eastAsia"/>
        </w:rPr>
        <w:t>商业地产、产业地产的</w:t>
      </w:r>
      <w:r>
        <w:t>战略转型</w:t>
      </w:r>
      <w:r>
        <w:rPr>
          <w:rFonts w:hint="eastAsia"/>
        </w:rPr>
        <w:t>；</w:t>
      </w:r>
    </w:p>
    <w:p>
      <w:pPr>
        <w:snapToGrid w:val="0"/>
        <w:spacing w:line="360" w:lineRule="exact"/>
      </w:pPr>
      <w:r>
        <w:rPr>
          <w:rFonts w:hint="eastAsia"/>
        </w:rPr>
        <w:t>4、本集训营学员自动成为北京大学标杆房地产同学会会员，共享北京大学所有专家资源与同学资源。</w:t>
      </w:r>
    </w:p>
    <w:p>
      <w:pPr>
        <w:snapToGrid w:val="0"/>
        <w:spacing w:line="360" w:lineRule="exact"/>
      </w:pPr>
    </w:p>
    <w:p>
      <w:pPr>
        <w:snapToGrid w:val="0"/>
        <w:spacing w:line="360" w:lineRule="exact"/>
      </w:pPr>
      <w:r>
        <w:rPr>
          <w:rFonts w:hint="eastAsia"/>
          <w:color w:val="FF0000"/>
          <w:szCs w:val="21"/>
        </w:rPr>
        <w:drawing>
          <wp:anchor distT="0" distB="0" distL="114300" distR="114300" simplePos="0" relativeHeight="251670528" behindDoc="0" locked="0" layoutInCell="1" allowOverlap="1">
            <wp:simplePos x="0" y="0"/>
            <wp:positionH relativeFrom="column">
              <wp:posOffset>-52070</wp:posOffset>
            </wp:positionH>
            <wp:positionV relativeFrom="paragraph">
              <wp:posOffset>-143510</wp:posOffset>
            </wp:positionV>
            <wp:extent cx="2116455" cy="79184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6452" cy="791767"/>
                    </a:xfrm>
                    <a:prstGeom prst="rect">
                      <a:avLst/>
                    </a:prstGeom>
                  </pic:spPr>
                </pic:pic>
              </a:graphicData>
            </a:graphic>
          </wp:anchor>
        </w:drawing>
      </w:r>
    </w:p>
    <w:p>
      <w:pPr>
        <w:tabs>
          <w:tab w:val="left" w:pos="4005"/>
        </w:tabs>
        <w:spacing w:line="360" w:lineRule="exact"/>
        <w:rPr>
          <w:color w:val="FF0000"/>
        </w:rPr>
      </w:pPr>
      <w:r>
        <w:rPr>
          <w:color w:val="FF0000"/>
        </w:rPr>
        <w:tab/>
      </w:r>
    </w:p>
    <w:p>
      <w:pPr>
        <w:tabs>
          <w:tab w:val="left" w:pos="4005"/>
        </w:tabs>
        <w:spacing w:line="360" w:lineRule="exact"/>
        <w:rPr>
          <w:color w:val="FF0000"/>
        </w:rPr>
      </w:pPr>
    </w:p>
    <w:p>
      <w:pPr>
        <w:spacing w:afterLines="50" w:line="360" w:lineRule="exact"/>
        <w:rPr>
          <w:rFonts w:ascii="黑体" w:hAnsi="黑体" w:eastAsia="黑体"/>
          <w:b/>
          <w:sz w:val="32"/>
          <w:szCs w:val="32"/>
        </w:rPr>
      </w:pPr>
      <w:r>
        <w:rPr>
          <w:rFonts w:hint="eastAsia" w:ascii="黑体" w:hAnsi="黑体" w:eastAsia="黑体"/>
          <w:b/>
          <w:sz w:val="32"/>
          <w:szCs w:val="32"/>
        </w:rPr>
        <w:t>陈晨</w:t>
      </w:r>
    </w:p>
    <w:p>
      <w:pPr>
        <w:spacing w:line="360" w:lineRule="exact"/>
        <w:rPr>
          <w:b/>
        </w:rPr>
      </w:pPr>
      <w:r>
        <w:rPr>
          <w:b/>
        </w:rPr>
        <w:t>长期在中国、美国、香港及新加坡主要城市操作过大量商业地产项目</w:t>
      </w:r>
    </w:p>
    <w:p>
      <w:pPr>
        <w:spacing w:line="360" w:lineRule="exact"/>
      </w:pPr>
      <w:r>
        <w:t>现任国际商业地产投资与资产管理企业董事长。曾任职全球知名大型国际基金旗下房地产投资与资产管理企业的中国区开发总裁及大型上市地产企业任职高级执行官，并于国内多家知名上市企业担任高级顾问。</w:t>
      </w:r>
      <w:r>
        <w:rPr>
          <w:rFonts w:hint="eastAsia"/>
        </w:rPr>
        <w:t>陈</w:t>
      </w:r>
      <w:r>
        <w:t>先生具备丰富的房地产投融资，规划设计，施工管理及资产管理经验。</w:t>
      </w:r>
    </w:p>
    <w:p>
      <w:pPr>
        <w:spacing w:beforeLines="50" w:line="360" w:lineRule="exact"/>
        <w:rPr>
          <w:rFonts w:ascii="黑体" w:hAnsi="黑体" w:eastAsia="黑体"/>
          <w:b/>
          <w:sz w:val="32"/>
          <w:szCs w:val="32"/>
        </w:rPr>
      </w:pPr>
      <w:r>
        <w:rPr>
          <w:rFonts w:ascii="黑体" w:hAnsi="黑体" w:eastAsia="黑体"/>
          <w:b/>
          <w:sz w:val="32"/>
          <w:szCs w:val="32"/>
        </w:rPr>
        <w:t>张昌祥</w:t>
      </w:r>
    </w:p>
    <w:p>
      <w:pPr>
        <w:spacing w:line="360" w:lineRule="exact"/>
        <w:rPr>
          <w:b/>
        </w:rPr>
      </w:pPr>
      <w:r>
        <w:rPr>
          <w:b/>
        </w:rPr>
        <w:t>律腾（中国）商业机构董事，蓓蕾扬帆公益基金发起人</w:t>
      </w:r>
    </w:p>
    <w:p>
      <w:pPr>
        <w:spacing w:line="360" w:lineRule="exact"/>
      </w:pPr>
      <w:r>
        <w:t>曾任万达商业地产高管，商业管理集团总部南方区域副总，在万达工作期间筹备开业了12座万达广场，并分管20多座万达广场的运营管理工作，其中有5座万达广场进入全国万达体系的前十强。</w:t>
      </w:r>
    </w:p>
    <w:p>
      <w:pPr>
        <w:spacing w:line="360" w:lineRule="exact"/>
      </w:pPr>
      <w:r>
        <w:t>中国第一家零售上市企业-深圳国际商业股份有限公司（A股000056）商业总经理，在任一年多时间，盘活深圳市中心10年烂尾地产项目-皇庭广场，使其成为深圳商业标杆项目。</w:t>
      </w:r>
    </w:p>
    <w:p>
      <w:pPr>
        <w:spacing w:beforeLines="50" w:afterLines="50" w:line="360" w:lineRule="exact"/>
        <w:rPr>
          <w:rFonts w:ascii="黑体" w:hAnsi="黑体" w:eastAsia="黑体"/>
          <w:b/>
          <w:sz w:val="32"/>
          <w:szCs w:val="32"/>
        </w:rPr>
      </w:pPr>
      <w:r>
        <w:rPr>
          <w:rFonts w:hint="eastAsia" w:ascii="黑体" w:hAnsi="黑体" w:eastAsia="黑体"/>
          <w:b/>
          <w:sz w:val="32"/>
          <w:szCs w:val="32"/>
        </w:rPr>
        <w:t>张凯胜</w:t>
      </w:r>
    </w:p>
    <w:p>
      <w:pPr>
        <w:widowControl/>
        <w:jc w:val="left"/>
        <w:rPr>
          <w:rFonts w:ascii="宋体" w:hAnsi="宋体" w:eastAsia="宋体" w:cs="宋体"/>
          <w:b/>
          <w:kern w:val="0"/>
          <w:szCs w:val="21"/>
        </w:rPr>
      </w:pPr>
      <w:r>
        <w:rPr>
          <w:rFonts w:hint="eastAsia" w:ascii="宋体" w:hAnsi="宋体" w:eastAsia="宋体" w:cs="宋体"/>
          <w:b/>
          <w:kern w:val="0"/>
          <w:szCs w:val="21"/>
        </w:rPr>
        <w:t>现任职国内商业地产前五强，集团商业高管</w:t>
      </w:r>
    </w:p>
    <w:p>
      <w:pPr>
        <w:widowControl/>
        <w:jc w:val="left"/>
        <w:rPr>
          <w:rFonts w:ascii="宋体" w:hAnsi="宋体" w:eastAsia="宋体" w:cs="宋体"/>
          <w:kern w:val="0"/>
          <w:szCs w:val="21"/>
        </w:rPr>
      </w:pPr>
      <w:r>
        <w:rPr>
          <w:rFonts w:hint="eastAsia" w:ascii="宋体" w:hAnsi="宋体" w:eastAsia="宋体" w:cs="宋体"/>
          <w:kern w:val="0"/>
          <w:szCs w:val="21"/>
        </w:rPr>
        <w:t>国内少数同时兼具两岸商业地产实务经验和同时任职过外企、民企与国企高管的专业培训师。台湾第一代商业地产团队，参与经营METRO WALK国际购物中心、台湾ETMALL购物（网路、型录、电视）。万达广场集团商管公司高管，负责经营44家已开业项目。新世界百货公司区域操盘手，6个开业项目经营。龙湖商业地产集团高管，16个项目150万自持商业操盘。</w:t>
      </w:r>
    </w:p>
    <w:p>
      <w:pPr>
        <w:spacing w:beforeLines="50" w:afterLines="50" w:line="360" w:lineRule="exact"/>
        <w:rPr>
          <w:rFonts w:ascii="黑体" w:hAnsi="黑体" w:eastAsia="黑体"/>
          <w:b/>
          <w:sz w:val="32"/>
          <w:szCs w:val="32"/>
        </w:rPr>
      </w:pPr>
      <w:r>
        <w:rPr>
          <w:rFonts w:hint="eastAsia" w:ascii="黑体" w:hAnsi="黑体" w:eastAsia="黑体"/>
          <w:b/>
          <w:sz w:val="32"/>
          <w:szCs w:val="32"/>
        </w:rPr>
        <w:t>刘玲琳</w:t>
      </w:r>
    </w:p>
    <w:p>
      <w:pPr>
        <w:rPr>
          <w:rFonts w:ascii="宋体" w:hAnsi="宋体" w:eastAsia="宋体" w:cs="宋体"/>
          <w:b/>
          <w:kern w:val="0"/>
          <w:szCs w:val="21"/>
        </w:rPr>
      </w:pPr>
      <w:r>
        <w:rPr>
          <w:rFonts w:hint="eastAsia" w:ascii="宋体" w:hAnsi="宋体" w:eastAsia="宋体" w:cs="宋体"/>
          <w:b/>
          <w:kern w:val="0"/>
          <w:szCs w:val="21"/>
        </w:rPr>
        <w:t>北京大学房地产总裁班特聘讲师，产业地产“资产派”运营模式的探索者和实践者</w:t>
      </w:r>
    </w:p>
    <w:p>
      <w:pPr>
        <w:rPr>
          <w:rFonts w:ascii="宋体" w:hAnsi="宋体" w:eastAsia="宋体" w:cs="宋体"/>
          <w:kern w:val="0"/>
          <w:szCs w:val="21"/>
        </w:rPr>
      </w:pPr>
      <w:r>
        <w:rPr>
          <w:rFonts w:hint="eastAsia" w:ascii="宋体" w:hAnsi="宋体" w:eastAsia="宋体" w:cs="宋体"/>
          <w:kern w:val="0"/>
          <w:szCs w:val="21"/>
        </w:rPr>
        <w:t>擅长产业地产商业模式的梳理和项目资产运作。 拥有十八年实战经验，曾先后任职深圳华侨城、深圳海上田园、天津海加利集团。精通运营管理、战略规划，曾参与欢乐谷和嵖岈山二个5A景区运营管理标准手册的制定与执行。具有熟练的全链实操能力(资源甄选—市调定位—项目策划—团队培训—市场营销—运营管理—品牌管理)。</w:t>
      </w:r>
    </w:p>
    <w:p>
      <w:pPr>
        <w:rPr>
          <w:rFonts w:ascii="黑体" w:hAnsi="黑体" w:eastAsia="黑体" w:cs="宋体"/>
          <w:b/>
          <w:kern w:val="0"/>
          <w:sz w:val="32"/>
          <w:szCs w:val="32"/>
        </w:rPr>
      </w:pPr>
      <w:r>
        <w:rPr>
          <w:rFonts w:hint="eastAsia" w:ascii="黑体" w:hAnsi="黑体" w:eastAsia="黑体" w:cs="宋体"/>
          <w:b/>
          <w:kern w:val="0"/>
          <w:sz w:val="32"/>
          <w:szCs w:val="32"/>
        </w:rPr>
        <w:t>段子吟</w:t>
      </w:r>
    </w:p>
    <w:p>
      <w:pPr>
        <w:rPr>
          <w:rFonts w:ascii="宋体" w:hAnsi="宋体" w:eastAsia="宋体" w:cs="宋体"/>
          <w:b/>
          <w:kern w:val="0"/>
          <w:szCs w:val="21"/>
        </w:rPr>
      </w:pPr>
      <w:r>
        <w:rPr>
          <w:rFonts w:hint="eastAsia" w:ascii="宋体" w:hAnsi="宋体" w:eastAsia="宋体" w:cs="宋体"/>
          <w:b/>
          <w:kern w:val="0"/>
          <w:szCs w:val="21"/>
        </w:rPr>
        <w:t>北京大学房地产总裁班特聘讲师，文旅地产一二级联动开发的探索者和实践者</w:t>
      </w:r>
    </w:p>
    <w:p>
      <w:pPr>
        <w:rPr>
          <w:rFonts w:ascii="宋体" w:hAnsi="宋体" w:eastAsia="宋体" w:cs="宋体"/>
          <w:kern w:val="0"/>
          <w:szCs w:val="21"/>
        </w:rPr>
      </w:pPr>
      <w:r>
        <w:rPr>
          <w:rFonts w:hint="eastAsia" w:ascii="宋体" w:hAnsi="宋体" w:eastAsia="宋体" w:cs="宋体"/>
          <w:kern w:val="0"/>
          <w:szCs w:val="21"/>
        </w:rPr>
        <w:t>擅长文旅地产的核心吸引物（核心竞争力）发掘和打造。</w:t>
      </w:r>
    </w:p>
    <w:p>
      <w:pPr>
        <w:rPr>
          <w:rFonts w:ascii="宋体" w:hAnsi="宋体" w:eastAsia="宋体" w:cs="宋体"/>
          <w:kern w:val="0"/>
          <w:szCs w:val="21"/>
        </w:rPr>
      </w:pPr>
      <w:r>
        <w:rPr>
          <w:rFonts w:hint="eastAsia" w:ascii="宋体" w:hAnsi="宋体" w:eastAsia="宋体" w:cs="宋体"/>
          <w:kern w:val="0"/>
          <w:szCs w:val="21"/>
        </w:rPr>
        <w:t>曾服务于华侨城集团、华润集团，拥有系统的文旅地产全链实操能力（资源甄选 — 市调定位 — 规划设计— 建设管理——市场营销等）。对主题乐园、度假型酒店、宗教文化（禅修、国学）、花卉休闲、茶文化、主题农庄、养生养老、古镇活化、文旅综合体项目的升级换代、专业市场及传统行业的文旅化改造积累了丰富的实操经验。</w:t>
      </w:r>
    </w:p>
    <w:p>
      <w:pPr>
        <w:rPr>
          <w:rFonts w:ascii="黑体" w:hAnsi="黑体" w:eastAsia="黑体" w:cs="宋体"/>
          <w:b/>
          <w:kern w:val="0"/>
          <w:sz w:val="32"/>
          <w:szCs w:val="32"/>
        </w:rPr>
      </w:pPr>
      <w:r>
        <w:rPr>
          <w:rFonts w:hint="eastAsia" w:ascii="黑体" w:hAnsi="黑体" w:eastAsia="黑体" w:cs="宋体"/>
          <w:b/>
          <w:kern w:val="0"/>
          <w:sz w:val="32"/>
          <w:szCs w:val="32"/>
        </w:rPr>
        <w:t>叶杨春</w:t>
      </w:r>
    </w:p>
    <w:p>
      <w:pPr>
        <w:rPr>
          <w:rFonts w:ascii="宋体" w:hAnsi="宋体" w:eastAsia="宋体" w:cs="宋体"/>
          <w:b/>
          <w:kern w:val="0"/>
          <w:szCs w:val="21"/>
        </w:rPr>
      </w:pPr>
      <w:r>
        <w:rPr>
          <w:rFonts w:hint="eastAsia" w:ascii="宋体" w:hAnsi="宋体" w:eastAsia="宋体" w:cs="宋体"/>
          <w:b/>
          <w:kern w:val="0"/>
          <w:szCs w:val="21"/>
        </w:rPr>
        <w:t>万科金牌营销总监，房地产营销实战专家，20年房地产营销经验；</w:t>
      </w:r>
    </w:p>
    <w:p>
      <w:pPr>
        <w:rPr>
          <w:rFonts w:ascii="宋体" w:hAnsi="宋体" w:eastAsia="宋体" w:cs="宋体"/>
          <w:kern w:val="0"/>
          <w:szCs w:val="21"/>
        </w:rPr>
      </w:pPr>
      <w:r>
        <w:rPr>
          <w:rFonts w:hint="eastAsia" w:ascii="宋体" w:hAnsi="宋体" w:eastAsia="宋体" w:cs="宋体"/>
          <w:kern w:val="0"/>
          <w:szCs w:val="21"/>
        </w:rPr>
        <w:t>碧桂园大盘时代亲历者，万科度假产品营销体系缔造者之一，万科海岛营销理论提出者和实践带头人知名地产集团营销副总裁，实现年销售业绩从2亿到50亿的突破多家房企董事长的专属营销顾问，擅长为处在困境中的房地产企业带来革命性营销蜕变。</w:t>
      </w:r>
    </w:p>
    <w:p>
      <w:pPr>
        <w:rPr>
          <w:rFonts w:ascii="宋体" w:hAnsi="宋体" w:eastAsia="宋体" w:cs="宋体"/>
          <w:kern w:val="0"/>
          <w:szCs w:val="21"/>
        </w:rPr>
      </w:pPr>
    </w:p>
    <w:p>
      <w:pPr>
        <w:spacing w:line="360" w:lineRule="auto"/>
        <w:rPr>
          <w:bCs/>
          <w:color w:val="000000"/>
        </w:rPr>
      </w:pPr>
      <w:r>
        <w:rPr>
          <w:rFonts w:hint="eastAsia"/>
          <w:color w:val="FF0000"/>
          <w:szCs w:val="21"/>
        </w:rPr>
        <w:drawing>
          <wp:anchor distT="0" distB="0" distL="114300" distR="114300" simplePos="0" relativeHeight="251672576" behindDoc="0" locked="0" layoutInCell="1" allowOverlap="1">
            <wp:simplePos x="0" y="0"/>
            <wp:positionH relativeFrom="column">
              <wp:posOffset>-109855</wp:posOffset>
            </wp:positionH>
            <wp:positionV relativeFrom="paragraph">
              <wp:posOffset>-9525</wp:posOffset>
            </wp:positionV>
            <wp:extent cx="2114550" cy="79121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4550" cy="791055"/>
                    </a:xfrm>
                    <a:prstGeom prst="rect">
                      <a:avLst/>
                    </a:prstGeom>
                  </pic:spPr>
                </pic:pic>
              </a:graphicData>
            </a:graphic>
          </wp:anchor>
        </w:drawing>
      </w:r>
    </w:p>
    <w:p>
      <w:pPr>
        <w:spacing w:line="360" w:lineRule="auto"/>
        <w:rPr>
          <w:bCs/>
          <w:color w:val="000000"/>
        </w:rPr>
      </w:pPr>
    </w:p>
    <w:p>
      <w:pPr>
        <w:spacing w:line="360" w:lineRule="auto"/>
        <w:rPr>
          <w:bCs/>
          <w:color w:val="000000"/>
        </w:rPr>
      </w:pPr>
    </w:p>
    <w:tbl>
      <w:tblPr>
        <w:tblStyle w:val="10"/>
        <w:tblW w:w="9092" w:type="dxa"/>
        <w:tblInd w:w="108"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
        <w:gridCol w:w="2107"/>
        <w:gridCol w:w="178"/>
        <w:gridCol w:w="6767"/>
        <w:gridCol w:w="20"/>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0" w:type="dxa"/>
          <w:trHeight w:val="715" w:hRule="atLeast"/>
        </w:trPr>
        <w:tc>
          <w:tcPr>
            <w:tcW w:w="9072" w:type="dxa"/>
            <w:gridSpan w:val="4"/>
            <w:tcBorders>
              <w:top w:val="thinThickSmallGap" w:color="auto" w:sz="12" w:space="0"/>
              <w:bottom w:val="single" w:color="auto" w:sz="4" w:space="0"/>
              <w:right w:val="thinThickSmallGap" w:color="auto" w:sz="12" w:space="0"/>
            </w:tcBorders>
            <w:shd w:val="clear" w:color="auto" w:fill="4F6228" w:themeFill="accent3" w:themeFillShade="80"/>
            <w:vAlign w:val="center"/>
          </w:tcPr>
          <w:p>
            <w:pPr>
              <w:jc w:val="center"/>
              <w:rPr>
                <w:rFonts w:ascii="黑体" w:hAnsi="黑体" w:eastAsia="黑体"/>
                <w:b/>
                <w:sz w:val="24"/>
                <w:szCs w:val="24"/>
              </w:rPr>
            </w:pPr>
            <w:r>
              <w:rPr>
                <w:rFonts w:ascii="黑体" w:hAnsi="黑体" w:eastAsia="黑体"/>
                <w:b/>
                <w:color w:val="FFFFFF" w:themeColor="background1"/>
                <w:sz w:val="24"/>
                <w:szCs w:val="24"/>
              </w:rPr>
              <w:t>商业地产前期阶段</w:t>
            </w:r>
            <w:r>
              <w:rPr>
                <w:rFonts w:hint="eastAsia" w:ascii="黑体" w:hAnsi="黑体" w:eastAsia="黑体"/>
                <w:b/>
                <w:color w:val="FFFFFF" w:themeColor="background1"/>
                <w:sz w:val="24"/>
                <w:szCs w:val="24"/>
              </w:rPr>
              <w:t>：</w:t>
            </w:r>
            <w:r>
              <w:rPr>
                <w:rFonts w:ascii="黑体" w:hAnsi="黑体" w:eastAsia="黑体"/>
                <w:b/>
                <w:color w:val="FFFFFF" w:themeColor="background1"/>
                <w:sz w:val="24"/>
                <w:szCs w:val="24"/>
              </w:rPr>
              <w:t>企业组织建设、风险管控、城市拓展定位、筹备管理</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0" w:type="dxa"/>
          <w:trHeight w:val="513" w:hRule="atLeast"/>
        </w:trPr>
        <w:tc>
          <w:tcPr>
            <w:tcW w:w="9072" w:type="dxa"/>
            <w:gridSpan w:val="4"/>
            <w:tcBorders>
              <w:top w:val="single" w:color="auto" w:sz="4" w:space="0"/>
              <w:bottom w:val="single" w:color="auto" w:sz="4" w:space="0"/>
              <w:right w:val="thinThickSmallGap" w:color="auto" w:sz="12" w:space="0"/>
            </w:tcBorders>
            <w:shd w:val="clear" w:color="auto" w:fill="auto"/>
            <w:vAlign w:val="center"/>
          </w:tcPr>
          <w:p>
            <w:pPr>
              <w:ind w:firstLine="1265" w:firstLineChars="600"/>
              <w:rPr>
                <w:rFonts w:ascii="黑体" w:hAnsi="黑体" w:eastAsia="黑体"/>
                <w:b/>
                <w:szCs w:val="21"/>
              </w:rPr>
            </w:pPr>
            <w:r>
              <w:rPr>
                <w:rFonts w:hint="eastAsia" w:ascii="黑体" w:hAnsi="黑体" w:eastAsia="黑体"/>
                <w:b/>
              </w:rPr>
              <w:t>企业导师：张昌祥       上课地点：深圳       （集中授课2天1天参访）</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0" w:type="dxa"/>
          <w:trHeight w:val="2153" w:hRule="atLeast"/>
        </w:trPr>
        <w:tc>
          <w:tcPr>
            <w:tcW w:w="2127" w:type="dxa"/>
            <w:gridSpan w:val="2"/>
            <w:tcBorders>
              <w:top w:val="single" w:color="auto" w:sz="4" w:space="0"/>
              <w:bottom w:val="single" w:color="auto" w:sz="4" w:space="0"/>
            </w:tcBorders>
            <w:vAlign w:val="center"/>
          </w:tcPr>
          <w:p>
            <w:pPr>
              <w:spacing w:line="300" w:lineRule="exact"/>
              <w:ind w:firstLine="527" w:firstLineChars="250"/>
              <w:rPr>
                <w:b/>
                <w:szCs w:val="21"/>
              </w:rPr>
            </w:pPr>
          </w:p>
          <w:p>
            <w:pPr>
              <w:spacing w:line="300" w:lineRule="exact"/>
              <w:ind w:firstLine="527" w:firstLineChars="250"/>
              <w:rPr>
                <w:b/>
                <w:color w:val="FF0000"/>
                <w:szCs w:val="21"/>
              </w:rPr>
            </w:pPr>
            <w:r>
              <w:rPr>
                <w:rFonts w:hint="eastAsia"/>
                <w:b/>
                <w:color w:val="FF0000"/>
                <w:szCs w:val="21"/>
              </w:rPr>
              <w:t xml:space="preserve">1st </w:t>
            </w:r>
            <w:r>
              <w:rPr>
                <w:rFonts w:hint="eastAsia"/>
                <w:b/>
                <w:color w:val="FF0000"/>
              </w:rPr>
              <w:t>Da</w:t>
            </w:r>
            <w:r>
              <w:rPr>
                <w:rFonts w:hint="eastAsia"/>
                <w:b/>
                <w:color w:val="FF0000"/>
                <w:szCs w:val="21"/>
              </w:rPr>
              <w:t>y</w:t>
            </w:r>
          </w:p>
          <w:p>
            <w:pPr>
              <w:ind w:left="1054" w:hanging="1054" w:hangingChars="500"/>
              <w:rPr>
                <w:b/>
                <w:szCs w:val="21"/>
              </w:rPr>
            </w:pPr>
            <w:r>
              <w:rPr>
                <w:b/>
                <w:szCs w:val="21"/>
              </w:rPr>
              <w:t>商业地产企业的组</w:t>
            </w:r>
          </w:p>
          <w:p>
            <w:pPr>
              <w:ind w:left="1053" w:leftChars="100" w:hanging="843" w:hangingChars="400"/>
            </w:pPr>
            <w:r>
              <w:rPr>
                <w:b/>
                <w:szCs w:val="21"/>
              </w:rPr>
              <w:t>织与流程设置</w:t>
            </w:r>
          </w:p>
        </w:tc>
        <w:tc>
          <w:tcPr>
            <w:tcW w:w="6945" w:type="dxa"/>
            <w:gridSpan w:val="2"/>
            <w:tcBorders>
              <w:top w:val="single" w:color="auto" w:sz="4" w:space="0"/>
              <w:bottom w:val="single" w:color="auto" w:sz="4" w:space="0"/>
              <w:right w:val="thinThickSmallGap" w:color="auto" w:sz="12" w:space="0"/>
            </w:tcBorders>
            <w:vAlign w:val="center"/>
          </w:tcPr>
          <w:p>
            <w:pPr>
              <w:spacing w:line="360" w:lineRule="exact"/>
              <w:rPr>
                <w:szCs w:val="21"/>
              </w:rPr>
            </w:pPr>
            <w:r>
              <w:rPr>
                <w:szCs w:val="21"/>
              </w:rPr>
              <w:t>1、单项目管理5大原则及组织架构2、多项目管理概要</w:t>
            </w:r>
          </w:p>
          <w:p>
            <w:pPr>
              <w:spacing w:line="360" w:lineRule="exact"/>
              <w:rPr>
                <w:szCs w:val="21"/>
              </w:rPr>
            </w:pPr>
            <w:r>
              <w:rPr>
                <w:szCs w:val="21"/>
              </w:rPr>
              <w:t>3、多项目管理下的管理模式4、多项目管理下的授权体系</w:t>
            </w:r>
          </w:p>
          <w:p>
            <w:pPr>
              <w:tabs>
                <w:tab w:val="left" w:pos="2115"/>
              </w:tabs>
              <w:spacing w:line="360" w:lineRule="exact"/>
              <w:rPr>
                <w:szCs w:val="21"/>
              </w:rPr>
            </w:pPr>
            <w:r>
              <w:rPr>
                <w:szCs w:val="21"/>
              </w:rPr>
              <w:t>5、财务风险管理及流程6、人力资源管理及流程</w:t>
            </w:r>
          </w:p>
          <w:p>
            <w:pPr>
              <w:tabs>
                <w:tab w:val="left" w:pos="2115"/>
              </w:tabs>
              <w:spacing w:line="360" w:lineRule="exact"/>
              <w:rPr>
                <w:szCs w:val="21"/>
              </w:rPr>
            </w:pPr>
            <w:r>
              <w:rPr>
                <w:szCs w:val="21"/>
              </w:rPr>
              <w:t>7、土地决策管理及流程8、开发销售管理及流程</w:t>
            </w:r>
          </w:p>
          <w:p>
            <w:pPr>
              <w:spacing w:line="360" w:lineRule="exact"/>
            </w:pPr>
            <w:r>
              <w:rPr>
                <w:szCs w:val="21"/>
              </w:rPr>
              <w:t>9、招商运营管理及流程</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0" w:type="dxa"/>
        </w:trPr>
        <w:tc>
          <w:tcPr>
            <w:tcW w:w="2127" w:type="dxa"/>
            <w:gridSpan w:val="2"/>
            <w:tcBorders>
              <w:top w:val="single" w:color="auto" w:sz="4" w:space="0"/>
              <w:bottom w:val="single" w:color="auto" w:sz="4" w:space="0"/>
            </w:tcBorders>
            <w:vAlign w:val="center"/>
          </w:tcPr>
          <w:p>
            <w:pPr>
              <w:spacing w:line="300" w:lineRule="exact"/>
              <w:ind w:firstLine="527" w:firstLineChars="250"/>
              <w:rPr>
                <w:b/>
              </w:rPr>
            </w:pPr>
          </w:p>
          <w:p>
            <w:pPr>
              <w:tabs>
                <w:tab w:val="left" w:pos="2115"/>
              </w:tabs>
              <w:spacing w:line="300" w:lineRule="exact"/>
              <w:ind w:left="632" w:hanging="632" w:hangingChars="300"/>
              <w:rPr>
                <w:b/>
              </w:rPr>
            </w:pPr>
            <w:r>
              <w:rPr>
                <w:b/>
              </w:rPr>
              <w:t>商业地产企业的风险管控</w:t>
            </w:r>
          </w:p>
          <w:p>
            <w:pPr>
              <w:tabs>
                <w:tab w:val="left" w:pos="2115"/>
              </w:tabs>
              <w:spacing w:line="300" w:lineRule="exact"/>
              <w:ind w:left="155" w:leftChars="74"/>
            </w:pPr>
          </w:p>
        </w:tc>
        <w:tc>
          <w:tcPr>
            <w:tcW w:w="6945" w:type="dxa"/>
            <w:gridSpan w:val="2"/>
            <w:tcBorders>
              <w:top w:val="single" w:color="auto" w:sz="4" w:space="0"/>
              <w:bottom w:val="single" w:color="auto" w:sz="4" w:space="0"/>
              <w:right w:val="thinThickSmallGap" w:color="auto" w:sz="12" w:space="0"/>
            </w:tcBorders>
            <w:vAlign w:val="center"/>
          </w:tcPr>
          <w:p>
            <w:pPr>
              <w:tabs>
                <w:tab w:val="left" w:pos="2115"/>
              </w:tabs>
              <w:spacing w:line="360" w:lineRule="exact"/>
            </w:pPr>
            <w:r>
              <w:t>1、风险管理模型概要2、风险管理体系建设</w:t>
            </w:r>
          </w:p>
          <w:p>
            <w:pPr>
              <w:tabs>
                <w:tab w:val="left" w:pos="2115"/>
              </w:tabs>
              <w:spacing w:line="360" w:lineRule="exact"/>
            </w:pPr>
            <w:r>
              <w:t>3、商业地产前期16个风险点及典型案例</w:t>
            </w:r>
          </w:p>
          <w:p>
            <w:pPr>
              <w:tabs>
                <w:tab w:val="left" w:pos="2115"/>
              </w:tabs>
              <w:spacing w:line="360" w:lineRule="exact"/>
            </w:pPr>
            <w:r>
              <w:t>4、商业地产中期13个风险点及典型案例</w:t>
            </w:r>
          </w:p>
          <w:p>
            <w:pPr>
              <w:tabs>
                <w:tab w:val="left" w:pos="2115"/>
              </w:tabs>
              <w:spacing w:line="360" w:lineRule="exact"/>
            </w:pPr>
            <w:r>
              <w:t>5、商业地产后期7个风险点及典型案例</w:t>
            </w:r>
          </w:p>
          <w:p>
            <w:pPr>
              <w:spacing w:line="360" w:lineRule="exact"/>
            </w:pPr>
            <w:r>
              <w:rPr>
                <w:b/>
                <w:color w:val="FF0000"/>
              </w:rPr>
              <w:t>6、</w:t>
            </w:r>
            <w:r>
              <w:rPr>
                <w:rFonts w:hint="eastAsia" w:asciiTheme="minorEastAsia" w:hAnsiTheme="minorEastAsia"/>
                <w:b/>
                <w:color w:val="FF0000"/>
              </w:rPr>
              <w:t>※</w:t>
            </w:r>
            <w:r>
              <w:rPr>
                <w:b/>
                <w:color w:val="FF0000"/>
              </w:rPr>
              <w:t>4+2商业地产开发战略模型解读</w:t>
            </w:r>
            <w:r>
              <w:t>（亮点）</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0" w:type="dxa"/>
          <w:trHeight w:val="608" w:hRule="atLeast"/>
        </w:trPr>
        <w:tc>
          <w:tcPr>
            <w:tcW w:w="2127" w:type="dxa"/>
            <w:gridSpan w:val="2"/>
            <w:tcBorders>
              <w:top w:val="single" w:color="auto" w:sz="4" w:space="0"/>
              <w:bottom w:val="single" w:color="auto" w:sz="4" w:space="0"/>
            </w:tcBorders>
            <w:vAlign w:val="center"/>
          </w:tcPr>
          <w:p>
            <w:pPr>
              <w:ind w:firstLine="632" w:firstLineChars="300"/>
            </w:pPr>
            <w:r>
              <w:rPr>
                <w:rFonts w:hint="eastAsia"/>
                <w:b/>
              </w:rPr>
              <w:t>晚上</w:t>
            </w:r>
          </w:p>
        </w:tc>
        <w:tc>
          <w:tcPr>
            <w:tcW w:w="6945" w:type="dxa"/>
            <w:gridSpan w:val="2"/>
            <w:tcBorders>
              <w:top w:val="single" w:color="auto" w:sz="4" w:space="0"/>
              <w:bottom w:val="single" w:color="auto" w:sz="4" w:space="0"/>
              <w:right w:val="thinThickSmallGap" w:color="auto" w:sz="12" w:space="0"/>
            </w:tcBorders>
            <w:vAlign w:val="center"/>
          </w:tcPr>
          <w:p>
            <w:pPr>
              <w:spacing w:line="360" w:lineRule="exact"/>
            </w:pPr>
            <w:r>
              <w:rPr>
                <w:rFonts w:hint="eastAsia"/>
              </w:rPr>
              <w:t>董事长</w:t>
            </w:r>
            <w:r>
              <w:t>私享晚宴</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0" w:type="dxa"/>
        </w:trPr>
        <w:tc>
          <w:tcPr>
            <w:tcW w:w="2127" w:type="dxa"/>
            <w:gridSpan w:val="2"/>
            <w:tcBorders>
              <w:top w:val="single" w:color="auto" w:sz="4" w:space="0"/>
              <w:bottom w:val="single" w:color="auto" w:sz="4" w:space="0"/>
            </w:tcBorders>
            <w:vAlign w:val="center"/>
          </w:tcPr>
          <w:p>
            <w:pPr>
              <w:spacing w:line="300" w:lineRule="exact"/>
              <w:ind w:firstLine="527" w:firstLineChars="250"/>
              <w:rPr>
                <w:b/>
              </w:rPr>
            </w:pPr>
          </w:p>
          <w:p>
            <w:pPr>
              <w:spacing w:line="300" w:lineRule="exact"/>
              <w:ind w:firstLine="527" w:firstLineChars="250"/>
              <w:rPr>
                <w:b/>
                <w:color w:val="FF0000"/>
              </w:rPr>
            </w:pPr>
            <w:r>
              <w:rPr>
                <w:rFonts w:hint="eastAsia"/>
                <w:b/>
                <w:color w:val="FF0000"/>
              </w:rPr>
              <w:t>2nd Day</w:t>
            </w:r>
          </w:p>
          <w:p>
            <w:pPr>
              <w:spacing w:line="300" w:lineRule="exact"/>
              <w:ind w:left="316" w:hanging="316" w:hangingChars="150"/>
              <w:rPr>
                <w:b/>
              </w:rPr>
            </w:pPr>
            <w:r>
              <w:rPr>
                <w:b/>
              </w:rPr>
              <w:t>商业地产的城市拓展与项目定位</w:t>
            </w:r>
          </w:p>
          <w:p>
            <w:pPr>
              <w:spacing w:line="300" w:lineRule="exact"/>
              <w:ind w:left="1155" w:hanging="1155" w:hangingChars="550"/>
            </w:pPr>
          </w:p>
        </w:tc>
        <w:tc>
          <w:tcPr>
            <w:tcW w:w="6945" w:type="dxa"/>
            <w:gridSpan w:val="2"/>
            <w:tcBorders>
              <w:top w:val="single" w:color="auto" w:sz="4" w:space="0"/>
              <w:bottom w:val="single" w:color="auto" w:sz="4" w:space="0"/>
              <w:right w:val="thinThickSmallGap" w:color="auto" w:sz="12" w:space="0"/>
            </w:tcBorders>
            <w:vAlign w:val="center"/>
          </w:tcPr>
          <w:p>
            <w:pPr>
              <w:tabs>
                <w:tab w:val="left" w:pos="2115"/>
              </w:tabs>
              <w:spacing w:line="360" w:lineRule="exact"/>
            </w:pPr>
            <w:r>
              <w:t>1、商业地产项目分类</w:t>
            </w:r>
            <w:r>
              <w:rPr>
                <w:b/>
                <w:color w:val="FF0000"/>
              </w:rPr>
              <w:t>2、</w:t>
            </w:r>
            <w:r>
              <w:rPr>
                <w:rFonts w:hint="eastAsia" w:asciiTheme="minorEastAsia" w:hAnsiTheme="minorEastAsia"/>
                <w:b/>
                <w:color w:val="FF0000"/>
              </w:rPr>
              <w:t>※</w:t>
            </w:r>
            <w:r>
              <w:rPr>
                <w:b/>
                <w:color w:val="FF0000"/>
              </w:rPr>
              <w:t>商业地产项目失败8大原因</w:t>
            </w:r>
          </w:p>
          <w:p>
            <w:pPr>
              <w:tabs>
                <w:tab w:val="left" w:pos="1515"/>
              </w:tabs>
              <w:spacing w:line="360" w:lineRule="exact"/>
            </w:pPr>
            <w:r>
              <w:t>3、第一步：理解土地所在城市适合的综合体</w:t>
            </w:r>
          </w:p>
          <w:p>
            <w:pPr>
              <w:tabs>
                <w:tab w:val="left" w:pos="1515"/>
              </w:tabs>
              <w:spacing w:line="360" w:lineRule="exact"/>
            </w:pPr>
            <w:r>
              <w:t>4、第二步：理解城市规划及城市商圈规划</w:t>
            </w:r>
          </w:p>
          <w:p>
            <w:pPr>
              <w:tabs>
                <w:tab w:val="left" w:pos="1515"/>
              </w:tabs>
              <w:spacing w:line="360" w:lineRule="exact"/>
            </w:pPr>
            <w:r>
              <w:t>5、第三步：理解土地的心声6、第四步：理解你的三级商圈</w:t>
            </w:r>
          </w:p>
          <w:p>
            <w:pPr>
              <w:tabs>
                <w:tab w:val="left" w:pos="1515"/>
              </w:tabs>
              <w:spacing w:line="360" w:lineRule="exact"/>
            </w:pPr>
            <w:r>
              <w:t>7、第五步：确定项目的商业面积及物业形态8、典型案例分析</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0" w:type="dxa"/>
          <w:trHeight w:val="2090" w:hRule="atLeast"/>
        </w:trPr>
        <w:tc>
          <w:tcPr>
            <w:tcW w:w="2127" w:type="dxa"/>
            <w:gridSpan w:val="2"/>
            <w:tcBorders>
              <w:top w:val="single" w:color="auto" w:sz="4" w:space="0"/>
              <w:bottom w:val="single" w:color="auto" w:sz="4" w:space="0"/>
            </w:tcBorders>
            <w:vAlign w:val="center"/>
          </w:tcPr>
          <w:p>
            <w:pPr>
              <w:spacing w:line="300" w:lineRule="exact"/>
              <w:ind w:firstLine="632" w:firstLineChars="300"/>
              <w:rPr>
                <w:b/>
              </w:rPr>
            </w:pPr>
          </w:p>
          <w:p>
            <w:pPr>
              <w:spacing w:line="300" w:lineRule="exact"/>
              <w:ind w:left="422" w:hanging="422" w:hangingChars="200"/>
              <w:rPr>
                <w:b/>
              </w:rPr>
            </w:pPr>
            <w:r>
              <w:rPr>
                <w:b/>
              </w:rPr>
              <w:t>商业地产的招商与开业筹备</w:t>
            </w:r>
          </w:p>
          <w:p/>
        </w:tc>
        <w:tc>
          <w:tcPr>
            <w:tcW w:w="6945" w:type="dxa"/>
            <w:gridSpan w:val="2"/>
            <w:tcBorders>
              <w:top w:val="single" w:color="auto" w:sz="4" w:space="0"/>
              <w:bottom w:val="single" w:color="auto" w:sz="4" w:space="0"/>
              <w:right w:val="thinThickSmallGap" w:color="auto" w:sz="12" w:space="0"/>
            </w:tcBorders>
            <w:vAlign w:val="center"/>
          </w:tcPr>
          <w:p>
            <w:pPr>
              <w:spacing w:line="360" w:lineRule="exact"/>
            </w:pPr>
            <w:r>
              <w:t>1、商业招商的8大法则2、商业招商管理的6大重点</w:t>
            </w:r>
          </w:p>
          <w:p>
            <w:pPr>
              <w:spacing w:line="360" w:lineRule="exact"/>
            </w:pPr>
            <w:r>
              <w:rPr>
                <w:b/>
                <w:color w:val="FF0000"/>
              </w:rPr>
              <w:t>3、</w:t>
            </w:r>
            <w:r>
              <w:rPr>
                <w:rFonts w:hint="eastAsia" w:asciiTheme="minorEastAsia" w:hAnsiTheme="minorEastAsia"/>
                <w:b/>
                <w:color w:val="FF0000"/>
              </w:rPr>
              <w:t>※</w:t>
            </w:r>
            <w:r>
              <w:rPr>
                <w:b/>
                <w:color w:val="FF0000"/>
              </w:rPr>
              <w:t>经营管理、物业管理与资产管理的职能与边界设定</w:t>
            </w:r>
          </w:p>
          <w:p>
            <w:pPr>
              <w:spacing w:line="360" w:lineRule="exact"/>
            </w:pPr>
            <w:r>
              <w:t>4、商业地产管理公司组织架构及编制预算</w:t>
            </w:r>
          </w:p>
          <w:p>
            <w:pPr>
              <w:spacing w:line="360" w:lineRule="exact"/>
            </w:pPr>
            <w:r>
              <w:t>5、商户装修管控要点</w:t>
            </w:r>
            <w:r>
              <w:rPr>
                <w:rFonts w:ascii="Times New Roman" w:hAnsi="Times New Roman" w:cs="Times New Roman" w:eastAsiaTheme="majorEastAsia"/>
                <w:sz w:val="24"/>
                <w:szCs w:val="24"/>
              </w:rPr>
              <w:t>6</w:t>
            </w:r>
            <w:r>
              <w:t>、开业推广活动规划要点</w:t>
            </w:r>
          </w:p>
          <w:p>
            <w:pPr>
              <w:spacing w:line="360" w:lineRule="exact"/>
            </w:pPr>
            <w:r>
              <w:rPr>
                <w:b/>
                <w:color w:val="FF0000"/>
              </w:rPr>
              <w:t>7、</w:t>
            </w:r>
            <w:r>
              <w:rPr>
                <w:rFonts w:hint="eastAsia" w:asciiTheme="minorEastAsia" w:hAnsiTheme="minorEastAsia"/>
                <w:b/>
                <w:color w:val="FF0000"/>
              </w:rPr>
              <w:t>※</w:t>
            </w:r>
            <w:r>
              <w:rPr>
                <w:b/>
                <w:color w:val="FF0000"/>
              </w:rPr>
              <w:t>互联网经济下未来10年商业地产场景展望</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0" w:type="dxa"/>
          <w:trHeight w:val="648" w:hRule="atLeast"/>
        </w:trPr>
        <w:tc>
          <w:tcPr>
            <w:tcW w:w="2127" w:type="dxa"/>
            <w:gridSpan w:val="2"/>
            <w:tcBorders>
              <w:top w:val="single" w:color="auto" w:sz="4" w:space="0"/>
              <w:bottom w:val="single" w:color="auto" w:sz="4" w:space="0"/>
            </w:tcBorders>
            <w:vAlign w:val="center"/>
          </w:tcPr>
          <w:p>
            <w:pPr>
              <w:spacing w:line="300" w:lineRule="exact"/>
              <w:ind w:firstLine="738" w:firstLineChars="350"/>
              <w:rPr>
                <w:b/>
              </w:rPr>
            </w:pPr>
            <w:r>
              <w:rPr>
                <w:rFonts w:hint="eastAsia"/>
                <w:b/>
              </w:rPr>
              <w:t>晚上</w:t>
            </w:r>
          </w:p>
        </w:tc>
        <w:tc>
          <w:tcPr>
            <w:tcW w:w="6945" w:type="dxa"/>
            <w:gridSpan w:val="2"/>
            <w:tcBorders>
              <w:top w:val="single" w:color="auto" w:sz="4" w:space="0"/>
              <w:bottom w:val="single" w:color="auto" w:sz="4" w:space="0"/>
              <w:right w:val="thinThickSmallGap" w:color="auto" w:sz="12" w:space="0"/>
            </w:tcBorders>
            <w:vAlign w:val="center"/>
          </w:tcPr>
          <w:p>
            <w:pPr>
              <w:spacing w:line="360" w:lineRule="exact"/>
            </w:pPr>
            <w:r>
              <w:rPr>
                <w:rFonts w:hint="eastAsia"/>
              </w:rPr>
              <w:t>作业、与企业导师面对面交流，深度辅导</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0" w:type="dxa"/>
          <w:trHeight w:val="696" w:hRule="atLeast"/>
        </w:trPr>
        <w:tc>
          <w:tcPr>
            <w:tcW w:w="2127" w:type="dxa"/>
            <w:gridSpan w:val="2"/>
            <w:vMerge w:val="restart"/>
            <w:tcBorders>
              <w:top w:val="single" w:color="auto" w:sz="4" w:space="0"/>
              <w:bottom w:val="single" w:color="auto" w:sz="4" w:space="0"/>
            </w:tcBorders>
            <w:vAlign w:val="center"/>
          </w:tcPr>
          <w:p>
            <w:pPr>
              <w:spacing w:line="360" w:lineRule="auto"/>
              <w:ind w:firstLine="527" w:firstLineChars="250"/>
              <w:rPr>
                <w:b/>
                <w:color w:val="FF0000"/>
              </w:rPr>
            </w:pPr>
            <w:r>
              <w:rPr>
                <w:rFonts w:hint="eastAsia"/>
                <w:b/>
                <w:color w:val="FF0000"/>
              </w:rPr>
              <w:t>3rd Day</w:t>
            </w:r>
          </w:p>
          <w:p>
            <w:pPr>
              <w:spacing w:line="360" w:lineRule="auto"/>
              <w:ind w:firstLine="105" w:firstLineChars="50"/>
              <w:rPr>
                <w:b/>
              </w:rPr>
            </w:pPr>
            <w:r>
              <w:rPr>
                <w:b/>
              </w:rPr>
              <w:t>案例项目现场参观</w:t>
            </w:r>
          </w:p>
          <w:p>
            <w:pPr>
              <w:spacing w:line="360" w:lineRule="auto"/>
              <w:ind w:firstLine="105" w:firstLineChars="50"/>
              <w:rPr>
                <w:b/>
              </w:rPr>
            </w:pPr>
            <w:r>
              <w:rPr>
                <w:b/>
              </w:rPr>
              <w:t>与</w:t>
            </w:r>
            <w:r>
              <w:rPr>
                <w:rFonts w:hint="eastAsia"/>
                <w:b/>
              </w:rPr>
              <w:t>项目负责人交流</w:t>
            </w:r>
          </w:p>
        </w:tc>
        <w:tc>
          <w:tcPr>
            <w:tcW w:w="6945" w:type="dxa"/>
            <w:gridSpan w:val="2"/>
            <w:tcBorders>
              <w:top w:val="single" w:color="auto" w:sz="4" w:space="0"/>
              <w:bottom w:val="single" w:color="auto" w:sz="4" w:space="0"/>
              <w:right w:val="thinThickSmallGap" w:color="auto" w:sz="12" w:space="0"/>
            </w:tcBorders>
            <w:vAlign w:val="center"/>
          </w:tcPr>
          <w:p>
            <w:pPr>
              <w:spacing w:line="360" w:lineRule="exact"/>
              <w:jc w:val="left"/>
            </w:pPr>
            <w:r>
              <w:rPr>
                <w:rFonts w:hint="eastAsia"/>
              </w:rPr>
              <w:t>主题交流：如何将两天所学内容落实到自身公司，针对性解决学员的实际问题</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0" w:type="dxa"/>
          <w:trHeight w:val="1635" w:hRule="atLeast"/>
        </w:trPr>
        <w:tc>
          <w:tcPr>
            <w:tcW w:w="2127" w:type="dxa"/>
            <w:gridSpan w:val="2"/>
            <w:vMerge w:val="continue"/>
            <w:tcBorders>
              <w:top w:val="single" w:color="auto" w:sz="4" w:space="0"/>
              <w:bottom w:val="single" w:color="auto" w:sz="4" w:space="0"/>
            </w:tcBorders>
            <w:vAlign w:val="center"/>
          </w:tcPr>
          <w:p>
            <w:pPr>
              <w:spacing w:line="300" w:lineRule="exact"/>
              <w:rPr>
                <w:b/>
              </w:rPr>
            </w:pPr>
          </w:p>
        </w:tc>
        <w:tc>
          <w:tcPr>
            <w:tcW w:w="6945" w:type="dxa"/>
            <w:gridSpan w:val="2"/>
            <w:tcBorders>
              <w:top w:val="single" w:color="auto" w:sz="4" w:space="0"/>
              <w:bottom w:val="single" w:color="auto" w:sz="4" w:space="0"/>
              <w:right w:val="thinThickSmallGap" w:color="auto" w:sz="12" w:space="0"/>
            </w:tcBorders>
            <w:vAlign w:val="center"/>
          </w:tcPr>
          <w:p>
            <w:pPr>
              <w:spacing w:line="360" w:lineRule="exact"/>
            </w:pPr>
            <w:r>
              <w:rPr>
                <w:rFonts w:hint="eastAsia"/>
              </w:rPr>
              <w:t>参访</w:t>
            </w:r>
            <w:r>
              <w:t>案例介绍</w:t>
            </w:r>
            <w:r>
              <w:rPr>
                <w:rFonts w:hint="eastAsia"/>
              </w:rPr>
              <w:t>：</w:t>
            </w:r>
          </w:p>
          <w:p>
            <w:pPr>
              <w:spacing w:line="360" w:lineRule="exact"/>
              <w:rPr>
                <w:szCs w:val="21"/>
              </w:rPr>
            </w:pPr>
            <w:r>
              <w:rPr>
                <w:rFonts w:hint="eastAsia" w:asciiTheme="minorEastAsia" w:hAnsiTheme="minorEastAsia"/>
                <w:szCs w:val="21"/>
              </w:rPr>
              <w:t>◆</w:t>
            </w:r>
            <w:r>
              <w:rPr>
                <w:rFonts w:hint="eastAsia" w:ascii="Verdana" w:hAnsi="Verdana" w:eastAsia="宋体" w:cs="宋体"/>
                <w:b/>
                <w:color w:val="FF0000"/>
                <w:kern w:val="0"/>
                <w:szCs w:val="21"/>
              </w:rPr>
              <w:t>皇庭广场</w:t>
            </w:r>
          </w:p>
          <w:p>
            <w:pPr>
              <w:spacing w:line="360" w:lineRule="exact"/>
              <w:rPr>
                <w:szCs w:val="21"/>
              </w:rPr>
            </w:pPr>
            <w:r>
              <w:rPr>
                <w:rFonts w:hint="eastAsia" w:asciiTheme="minorEastAsia" w:hAnsiTheme="minorEastAsia"/>
                <w:szCs w:val="21"/>
              </w:rPr>
              <w:t>◆</w:t>
            </w:r>
            <w:r>
              <w:rPr>
                <w:rFonts w:hint="eastAsia" w:asciiTheme="minorEastAsia" w:hAnsiTheme="minorEastAsia"/>
                <w:b/>
                <w:color w:val="FF0000"/>
                <w:szCs w:val="21"/>
              </w:rPr>
              <w:t>深国投广场</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20" w:type="dxa"/>
          <w:trHeight w:val="715" w:hRule="atLeast"/>
          <w:jc w:val="center"/>
        </w:trPr>
        <w:tc>
          <w:tcPr>
            <w:tcW w:w="9072" w:type="dxa"/>
            <w:gridSpan w:val="4"/>
            <w:tcBorders>
              <w:top w:val="single" w:color="auto" w:sz="4" w:space="0"/>
              <w:bottom w:val="single" w:color="auto" w:sz="4" w:space="0"/>
              <w:right w:val="thinThickSmallGap" w:color="auto" w:sz="12" w:space="0"/>
            </w:tcBorders>
            <w:shd w:val="clear" w:color="auto" w:fill="4F6228" w:themeFill="accent3" w:themeFillShade="80"/>
            <w:vAlign w:val="center"/>
          </w:tcPr>
          <w:p>
            <w:pPr>
              <w:spacing w:line="360" w:lineRule="auto"/>
              <w:jc w:val="center"/>
              <w:rPr>
                <w:rFonts w:ascii="黑体" w:hAnsi="黑体" w:eastAsia="黑体" w:cs="Times New Roman"/>
                <w:b/>
                <w:sz w:val="24"/>
                <w:szCs w:val="24"/>
              </w:rPr>
            </w:pPr>
            <w:r>
              <w:rPr>
                <w:rFonts w:ascii="黑体" w:hAnsi="黑体" w:eastAsia="黑体" w:cs="Times New Roman"/>
                <w:b/>
                <w:color w:val="FFFFFF" w:themeColor="background1"/>
                <w:sz w:val="24"/>
                <w:szCs w:val="24"/>
              </w:rPr>
              <w:t>商业地产运营阶段</w:t>
            </w:r>
            <w:r>
              <w:rPr>
                <w:rFonts w:hint="eastAsia" w:ascii="黑体" w:hAnsi="黑体" w:eastAsia="黑体" w:cs="Times New Roman"/>
                <w:b/>
                <w:color w:val="FFFFFF" w:themeColor="background1"/>
                <w:sz w:val="24"/>
                <w:szCs w:val="24"/>
              </w:rPr>
              <w:t>：运营期经营策略、实战核心技巧</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20" w:type="dxa"/>
          <w:jc w:val="center"/>
        </w:trPr>
        <w:tc>
          <w:tcPr>
            <w:tcW w:w="9072" w:type="dxa"/>
            <w:gridSpan w:val="4"/>
            <w:tcBorders>
              <w:top w:val="single" w:color="auto" w:sz="4" w:space="0"/>
              <w:bottom w:val="single" w:color="auto" w:sz="4" w:space="0"/>
              <w:right w:val="thinThickSmallGap" w:color="auto" w:sz="12" w:space="0"/>
            </w:tcBorders>
            <w:shd w:val="clear" w:color="auto" w:fill="auto"/>
          </w:tcPr>
          <w:p>
            <w:pPr>
              <w:spacing w:line="360" w:lineRule="auto"/>
              <w:ind w:firstLine="841" w:firstLineChars="399"/>
              <w:rPr>
                <w:rFonts w:ascii="黑体" w:hAnsi="黑体" w:eastAsia="黑体" w:cs="Times New Roman"/>
                <w:b/>
                <w:szCs w:val="21"/>
              </w:rPr>
            </w:pPr>
            <w:r>
              <w:rPr>
                <w:rFonts w:hint="eastAsia" w:ascii="黑体" w:hAnsi="黑体" w:eastAsia="黑体" w:cs="Times New Roman"/>
                <w:b/>
                <w:szCs w:val="21"/>
              </w:rPr>
              <w:t>企业导师：张凯盛           上课地点：北京</w:t>
            </w:r>
            <w:r>
              <w:rPr>
                <w:rFonts w:hint="eastAsia" w:ascii="黑体" w:hAnsi="黑体" w:eastAsia="黑体"/>
                <w:b/>
              </w:rPr>
              <w:t>（集中授课2天1天参访）</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20" w:type="dxa"/>
          <w:trHeight w:val="487" w:hRule="atLeast"/>
          <w:jc w:val="center"/>
        </w:trPr>
        <w:tc>
          <w:tcPr>
            <w:tcW w:w="2285" w:type="dxa"/>
            <w:gridSpan w:val="2"/>
            <w:tcBorders>
              <w:top w:val="single" w:color="auto" w:sz="4" w:space="0"/>
              <w:bottom w:val="single" w:color="auto" w:sz="4" w:space="0"/>
            </w:tcBorders>
            <w:vAlign w:val="center"/>
          </w:tcPr>
          <w:p>
            <w:pPr>
              <w:spacing w:line="300" w:lineRule="exact"/>
              <w:ind w:firstLine="632" w:firstLineChars="300"/>
              <w:rPr>
                <w:b/>
                <w:color w:val="FF0000"/>
                <w:szCs w:val="21"/>
              </w:rPr>
            </w:pPr>
            <w:r>
              <w:rPr>
                <w:rFonts w:hint="eastAsia"/>
                <w:b/>
                <w:color w:val="FF0000"/>
                <w:szCs w:val="21"/>
              </w:rPr>
              <w:t xml:space="preserve">1st </w:t>
            </w:r>
            <w:r>
              <w:rPr>
                <w:rFonts w:hint="eastAsia"/>
                <w:b/>
                <w:color w:val="FF0000"/>
              </w:rPr>
              <w:t>Da</w:t>
            </w:r>
            <w:r>
              <w:rPr>
                <w:rFonts w:hint="eastAsia"/>
                <w:b/>
                <w:color w:val="FF0000"/>
                <w:szCs w:val="21"/>
              </w:rPr>
              <w:t>y</w:t>
            </w:r>
          </w:p>
          <w:p>
            <w:pPr>
              <w:spacing w:line="300" w:lineRule="exact"/>
              <w:jc w:val="center"/>
              <w:rPr>
                <w:b/>
              </w:rPr>
            </w:pPr>
            <w:r>
              <w:rPr>
                <w:b/>
              </w:rPr>
              <w:t>经营策略</w:t>
            </w:r>
          </w:p>
        </w:tc>
        <w:tc>
          <w:tcPr>
            <w:tcW w:w="6787" w:type="dxa"/>
            <w:gridSpan w:val="2"/>
            <w:tcBorders>
              <w:top w:val="single" w:color="auto" w:sz="4" w:space="0"/>
              <w:bottom w:val="single" w:color="auto" w:sz="4" w:space="0"/>
              <w:right w:val="thinThickSmallGap" w:color="auto" w:sz="12" w:space="0"/>
            </w:tcBorders>
            <w:vAlign w:val="center"/>
          </w:tcPr>
          <w:p>
            <w:pPr>
              <w:spacing w:line="320" w:lineRule="exact"/>
            </w:pPr>
            <w:r>
              <w:t>1、购物中心的三个生命周期：培育期、成长期、成熟期</w:t>
            </w:r>
          </w:p>
          <w:p>
            <w:pPr>
              <w:spacing w:line="320" w:lineRule="exact"/>
              <w:rPr>
                <w:b/>
              </w:rPr>
            </w:pPr>
            <w:r>
              <w:t>2、三周期的经营策略</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20" w:type="dxa"/>
          <w:trHeight w:val="3011" w:hRule="atLeast"/>
          <w:jc w:val="center"/>
        </w:trPr>
        <w:tc>
          <w:tcPr>
            <w:tcW w:w="2285" w:type="dxa"/>
            <w:gridSpan w:val="2"/>
            <w:tcBorders>
              <w:top w:val="single" w:color="auto" w:sz="4" w:space="0"/>
              <w:bottom w:val="single" w:color="auto" w:sz="4" w:space="0"/>
            </w:tcBorders>
            <w:vAlign w:val="center"/>
          </w:tcPr>
          <w:p>
            <w:pPr>
              <w:spacing w:line="300" w:lineRule="exact"/>
              <w:ind w:firstLine="211" w:firstLineChars="100"/>
              <w:jc w:val="center"/>
              <w:rPr>
                <w:b/>
              </w:rPr>
            </w:pPr>
          </w:p>
          <w:p>
            <w:pPr>
              <w:spacing w:line="300" w:lineRule="exact"/>
              <w:ind w:firstLine="211" w:firstLineChars="100"/>
              <w:jc w:val="center"/>
              <w:rPr>
                <w:b/>
              </w:rPr>
            </w:pPr>
          </w:p>
          <w:p>
            <w:pPr>
              <w:spacing w:line="300" w:lineRule="exact"/>
              <w:ind w:left="211" w:hanging="211" w:hangingChars="100"/>
              <w:jc w:val="center"/>
              <w:rPr>
                <w:b/>
              </w:rPr>
            </w:pPr>
            <w:r>
              <w:rPr>
                <w:b/>
              </w:rPr>
              <w:t>实战</w:t>
            </w:r>
            <w:r>
              <w:rPr>
                <w:rFonts w:hint="eastAsia"/>
                <w:b/>
              </w:rPr>
              <w:t>核心技巧</w:t>
            </w:r>
          </w:p>
          <w:p>
            <w:pPr>
              <w:jc w:val="center"/>
            </w:pPr>
          </w:p>
        </w:tc>
        <w:tc>
          <w:tcPr>
            <w:tcW w:w="6787" w:type="dxa"/>
            <w:gridSpan w:val="2"/>
            <w:tcBorders>
              <w:top w:val="single" w:color="auto" w:sz="4" w:space="0"/>
              <w:bottom w:val="single" w:color="auto" w:sz="4" w:space="0"/>
              <w:right w:val="thinThickSmallGap" w:color="auto" w:sz="12" w:space="0"/>
            </w:tcBorders>
            <w:vAlign w:val="center"/>
          </w:tcPr>
          <w:p>
            <w:pPr>
              <w:spacing w:line="320" w:lineRule="exact"/>
            </w:pPr>
            <w:r>
              <w:rPr>
                <w:rFonts w:hint="eastAsia"/>
              </w:rPr>
              <w:t>1、</w:t>
            </w:r>
            <w:r>
              <w:t>核心商圈的彻底掌握：从门口掌柜调整深入商圈</w:t>
            </w:r>
          </w:p>
          <w:p>
            <w:pPr>
              <w:spacing w:line="320" w:lineRule="exact"/>
            </w:pPr>
            <w:r>
              <w:rPr>
                <w:rFonts w:hint="eastAsia"/>
              </w:rPr>
              <w:t>2</w:t>
            </w:r>
            <w:r>
              <w:t>、生活中心的建立：回到商业地产的内涵</w:t>
            </w:r>
          </w:p>
          <w:p>
            <w:pPr>
              <w:spacing w:line="320" w:lineRule="exact"/>
            </w:pPr>
            <w:r>
              <w:rPr>
                <w:rFonts w:hint="eastAsia"/>
              </w:rPr>
              <w:t>3、</w:t>
            </w:r>
            <w:r>
              <w:t>同质化的因应：关键数字的经验传授、</w:t>
            </w:r>
          </w:p>
          <w:p>
            <w:pPr>
              <w:spacing w:line="320" w:lineRule="exact"/>
            </w:pPr>
            <w:r>
              <w:rPr>
                <w:rFonts w:hint="eastAsia"/>
              </w:rPr>
              <w:t>4、</w:t>
            </w:r>
            <w:r>
              <w:t>主力店效应的最大化：打场拳头战</w:t>
            </w:r>
          </w:p>
          <w:p>
            <w:pPr>
              <w:spacing w:line="320" w:lineRule="exact"/>
            </w:pPr>
            <w:r>
              <w:rPr>
                <w:rFonts w:hint="eastAsia"/>
              </w:rPr>
              <w:t>5、</w:t>
            </w:r>
            <w:r>
              <w:t>品牌经营分类：二个指标四个象限的聪明工具</w:t>
            </w:r>
          </w:p>
          <w:p>
            <w:pPr>
              <w:spacing w:line="320" w:lineRule="exact"/>
            </w:pPr>
            <w:r>
              <w:rPr>
                <w:rFonts w:hint="eastAsia"/>
              </w:rPr>
              <w:t>6、</w:t>
            </w:r>
            <w:r>
              <w:t>内外动线的理解：掌握客流方向就是掌握钞票流向</w:t>
            </w:r>
          </w:p>
          <w:p>
            <w:pPr>
              <w:spacing w:line="320" w:lineRule="exact"/>
            </w:pPr>
            <w:r>
              <w:rPr>
                <w:rFonts w:hint="eastAsia"/>
              </w:rPr>
              <w:t>7</w:t>
            </w:r>
            <w:r>
              <w:t>、租金提高的步骤：四步骤提高租金</w:t>
            </w:r>
          </w:p>
          <w:p>
            <w:pPr>
              <w:spacing w:line="320" w:lineRule="exact"/>
            </w:pPr>
            <w:r>
              <w:rPr>
                <w:rFonts w:hint="eastAsia"/>
              </w:rPr>
              <w:t>8</w:t>
            </w:r>
            <w:r>
              <w:t>、各项报表的支持：习惯有的放矢的报表解读</w:t>
            </w:r>
          </w:p>
          <w:p>
            <w:pPr>
              <w:spacing w:line="320" w:lineRule="exact"/>
            </w:pPr>
            <w:r>
              <w:rPr>
                <w:rFonts w:hint="eastAsia"/>
              </w:rPr>
              <w:t>9</w:t>
            </w:r>
            <w:r>
              <w:t>、善用数据分析系统：仰赖经验不如相信科学数据说故事</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20" w:type="dxa"/>
          <w:trHeight w:val="550" w:hRule="atLeast"/>
          <w:jc w:val="center"/>
        </w:trPr>
        <w:tc>
          <w:tcPr>
            <w:tcW w:w="2285" w:type="dxa"/>
            <w:gridSpan w:val="2"/>
            <w:tcBorders>
              <w:top w:val="single" w:color="auto" w:sz="4" w:space="0"/>
              <w:bottom w:val="single" w:color="auto" w:sz="4" w:space="0"/>
            </w:tcBorders>
            <w:vAlign w:val="center"/>
          </w:tcPr>
          <w:p>
            <w:pPr>
              <w:ind w:firstLine="843" w:firstLineChars="400"/>
            </w:pPr>
            <w:r>
              <w:rPr>
                <w:rFonts w:hint="eastAsia"/>
                <w:b/>
              </w:rPr>
              <w:t>晚上</w:t>
            </w:r>
          </w:p>
        </w:tc>
        <w:tc>
          <w:tcPr>
            <w:tcW w:w="6787" w:type="dxa"/>
            <w:gridSpan w:val="2"/>
            <w:tcBorders>
              <w:top w:val="single" w:color="auto" w:sz="4" w:space="0"/>
              <w:bottom w:val="single" w:color="auto" w:sz="4" w:space="0"/>
              <w:right w:val="thinThickSmallGap" w:color="auto" w:sz="12" w:space="0"/>
            </w:tcBorders>
            <w:vAlign w:val="center"/>
          </w:tcPr>
          <w:p>
            <w:pPr>
              <w:spacing w:line="320" w:lineRule="exact"/>
            </w:pPr>
            <w:r>
              <w:rPr>
                <w:rFonts w:hint="eastAsia"/>
              </w:rPr>
              <w:t>董事长</w:t>
            </w:r>
            <w:r>
              <w:t>私享晚宴</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20" w:type="dxa"/>
          <w:trHeight w:val="1057" w:hRule="atLeast"/>
          <w:jc w:val="center"/>
        </w:trPr>
        <w:tc>
          <w:tcPr>
            <w:tcW w:w="2285" w:type="dxa"/>
            <w:gridSpan w:val="2"/>
            <w:tcBorders>
              <w:top w:val="single" w:color="auto" w:sz="4" w:space="0"/>
              <w:bottom w:val="single" w:color="auto" w:sz="4" w:space="0"/>
            </w:tcBorders>
            <w:vAlign w:val="center"/>
          </w:tcPr>
          <w:p>
            <w:pPr>
              <w:spacing w:line="300" w:lineRule="exact"/>
              <w:ind w:firstLine="632" w:firstLineChars="300"/>
              <w:rPr>
                <w:b/>
                <w:color w:val="FF0000"/>
              </w:rPr>
            </w:pPr>
            <w:r>
              <w:rPr>
                <w:rFonts w:hint="eastAsia"/>
                <w:b/>
                <w:color w:val="FF0000"/>
              </w:rPr>
              <w:t>2nd Day</w:t>
            </w:r>
          </w:p>
          <w:p>
            <w:pPr>
              <w:spacing w:line="300" w:lineRule="exact"/>
              <w:ind w:left="422" w:hanging="422" w:hangingChars="200"/>
              <w:jc w:val="center"/>
              <w:rPr>
                <w:b/>
                <w:color w:val="000000" w:themeColor="text1"/>
              </w:rPr>
            </w:pPr>
            <w:r>
              <w:rPr>
                <w:rFonts w:hint="eastAsia"/>
                <w:b/>
                <w:color w:val="000000" w:themeColor="text1"/>
              </w:rPr>
              <w:t>搭建运营期管理体系</w:t>
            </w:r>
          </w:p>
          <w:p>
            <w:pPr>
              <w:spacing w:line="300" w:lineRule="exact"/>
              <w:ind w:left="422" w:hanging="422" w:hangingChars="200"/>
              <w:jc w:val="center"/>
              <w:rPr>
                <w:b/>
                <w:color w:val="000000" w:themeColor="text1"/>
              </w:rPr>
            </w:pPr>
            <w:r>
              <w:rPr>
                <w:rFonts w:hint="eastAsia"/>
                <w:b/>
                <w:color w:val="000000" w:themeColor="text1"/>
              </w:rPr>
              <w:t>（不同阶段不同形态多项目管理）</w:t>
            </w:r>
          </w:p>
        </w:tc>
        <w:tc>
          <w:tcPr>
            <w:tcW w:w="6787" w:type="dxa"/>
            <w:gridSpan w:val="2"/>
            <w:tcBorders>
              <w:top w:val="single" w:color="auto" w:sz="4" w:space="0"/>
              <w:bottom w:val="single" w:color="auto" w:sz="4" w:space="0"/>
              <w:right w:val="thinThickSmallGap" w:color="auto" w:sz="12" w:space="0"/>
            </w:tcBorders>
            <w:vAlign w:val="center"/>
          </w:tcPr>
          <w:p>
            <w:pPr>
              <w:pStyle w:val="15"/>
              <w:numPr>
                <w:ilvl w:val="0"/>
                <w:numId w:val="1"/>
              </w:numPr>
              <w:spacing w:line="320" w:lineRule="exact"/>
              <w:ind w:firstLineChars="0"/>
            </w:pPr>
            <w:r>
              <w:rPr>
                <w:rFonts w:hint="eastAsia"/>
              </w:rPr>
              <w:t>构建资产财务划分关系（账套、分公司、独立公司）</w:t>
            </w:r>
          </w:p>
          <w:p>
            <w:pPr>
              <w:pStyle w:val="15"/>
              <w:numPr>
                <w:ilvl w:val="0"/>
                <w:numId w:val="1"/>
              </w:numPr>
              <w:spacing w:line="320" w:lineRule="exact"/>
              <w:ind w:firstLineChars="0"/>
            </w:pPr>
            <w:r>
              <w:rPr>
                <w:rFonts w:hint="eastAsia"/>
              </w:rPr>
              <w:t>组织架构的设置及各层级定位</w:t>
            </w:r>
          </w:p>
          <w:p>
            <w:pPr>
              <w:pStyle w:val="15"/>
              <w:numPr>
                <w:ilvl w:val="0"/>
                <w:numId w:val="1"/>
              </w:numPr>
              <w:spacing w:line="320" w:lineRule="exact"/>
              <w:ind w:firstLineChars="0"/>
            </w:pPr>
            <w:r>
              <w:rPr>
                <w:rFonts w:hint="eastAsia"/>
              </w:rPr>
              <w:t>界面、权限、流程解析</w:t>
            </w:r>
          </w:p>
          <w:p>
            <w:pPr>
              <w:pStyle w:val="15"/>
              <w:numPr>
                <w:ilvl w:val="0"/>
                <w:numId w:val="1"/>
              </w:numPr>
              <w:spacing w:line="320" w:lineRule="exact"/>
              <w:ind w:firstLineChars="0"/>
            </w:pPr>
            <w:r>
              <w:rPr>
                <w:rFonts w:hint="eastAsia"/>
              </w:rPr>
              <w:t>外包资源的合理运用</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20" w:type="dxa"/>
          <w:trHeight w:val="1087" w:hRule="atLeast"/>
          <w:jc w:val="center"/>
        </w:trPr>
        <w:tc>
          <w:tcPr>
            <w:tcW w:w="2285" w:type="dxa"/>
            <w:gridSpan w:val="2"/>
            <w:tcBorders>
              <w:top w:val="single" w:color="auto" w:sz="4" w:space="0"/>
              <w:bottom w:val="single" w:color="auto" w:sz="4" w:space="0"/>
            </w:tcBorders>
            <w:vAlign w:val="center"/>
          </w:tcPr>
          <w:p>
            <w:pPr>
              <w:spacing w:line="300" w:lineRule="exact"/>
              <w:ind w:left="422" w:hanging="422" w:hangingChars="200"/>
              <w:jc w:val="center"/>
              <w:rPr>
                <w:b/>
                <w:color w:val="000000" w:themeColor="text1"/>
              </w:rPr>
            </w:pPr>
            <w:r>
              <w:rPr>
                <w:rFonts w:hint="eastAsia"/>
                <w:b/>
                <w:color w:val="000000" w:themeColor="text1"/>
              </w:rPr>
              <w:t>运营期管控要点</w:t>
            </w:r>
          </w:p>
          <w:p>
            <w:pPr>
              <w:spacing w:line="300" w:lineRule="exact"/>
              <w:ind w:left="422" w:hanging="422" w:hangingChars="200"/>
              <w:jc w:val="center"/>
              <w:rPr>
                <w:b/>
                <w:color w:val="000000" w:themeColor="text1"/>
              </w:rPr>
            </w:pPr>
            <w:r>
              <w:rPr>
                <w:rFonts w:hint="eastAsia"/>
                <w:b/>
                <w:color w:val="000000" w:themeColor="text1"/>
              </w:rPr>
              <w:t>（确保资产保值增值）</w:t>
            </w:r>
          </w:p>
        </w:tc>
        <w:tc>
          <w:tcPr>
            <w:tcW w:w="6787" w:type="dxa"/>
            <w:gridSpan w:val="2"/>
            <w:tcBorders>
              <w:top w:val="single" w:color="auto" w:sz="4" w:space="0"/>
              <w:bottom w:val="single" w:color="auto" w:sz="4" w:space="0"/>
              <w:right w:val="thinThickSmallGap" w:color="auto" w:sz="12" w:space="0"/>
            </w:tcBorders>
            <w:vAlign w:val="center"/>
          </w:tcPr>
          <w:p>
            <w:pPr>
              <w:pStyle w:val="15"/>
              <w:numPr>
                <w:ilvl w:val="0"/>
                <w:numId w:val="2"/>
              </w:numPr>
              <w:spacing w:line="320" w:lineRule="exact"/>
              <w:ind w:firstLineChars="0"/>
            </w:pPr>
            <w:r>
              <w:rPr>
                <w:rFonts w:hint="eastAsia"/>
              </w:rPr>
              <w:t>商务条件规划、品牌管理、铺位分级、合同体系与租费成长的关系</w:t>
            </w:r>
          </w:p>
          <w:p>
            <w:pPr>
              <w:pStyle w:val="15"/>
              <w:numPr>
                <w:ilvl w:val="0"/>
                <w:numId w:val="2"/>
              </w:numPr>
              <w:spacing w:line="320" w:lineRule="exact"/>
              <w:ind w:firstLineChars="0"/>
            </w:pPr>
            <w:r>
              <w:rPr>
                <w:rFonts w:hint="eastAsia"/>
              </w:rPr>
              <w:t>两项收入及三项核心费用管理要点</w:t>
            </w:r>
          </w:p>
          <w:p>
            <w:pPr>
              <w:pStyle w:val="15"/>
              <w:numPr>
                <w:ilvl w:val="0"/>
                <w:numId w:val="2"/>
              </w:numPr>
              <w:spacing w:line="320" w:lineRule="exact"/>
              <w:ind w:firstLineChars="0"/>
            </w:pPr>
            <w:r>
              <w:rPr>
                <w:rFonts w:hint="eastAsia"/>
              </w:rPr>
              <w:t>安全品质管控要点</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20" w:type="dxa"/>
          <w:trHeight w:val="1107" w:hRule="atLeast"/>
          <w:jc w:val="center"/>
        </w:trPr>
        <w:tc>
          <w:tcPr>
            <w:tcW w:w="2285" w:type="dxa"/>
            <w:gridSpan w:val="2"/>
            <w:tcBorders>
              <w:top w:val="single" w:color="auto" w:sz="4" w:space="0"/>
              <w:bottom w:val="single" w:color="auto" w:sz="4" w:space="0"/>
            </w:tcBorders>
            <w:vAlign w:val="center"/>
          </w:tcPr>
          <w:p>
            <w:pPr>
              <w:spacing w:line="300" w:lineRule="exact"/>
              <w:jc w:val="center"/>
              <w:rPr>
                <w:b/>
                <w:color w:val="000000" w:themeColor="text1"/>
              </w:rPr>
            </w:pPr>
            <w:r>
              <w:rPr>
                <w:rFonts w:hint="eastAsia"/>
                <w:b/>
                <w:color w:val="000000" w:themeColor="text1"/>
              </w:rPr>
              <w:t>互联时代的运营管理新变革</w:t>
            </w:r>
          </w:p>
        </w:tc>
        <w:tc>
          <w:tcPr>
            <w:tcW w:w="6787" w:type="dxa"/>
            <w:gridSpan w:val="2"/>
            <w:tcBorders>
              <w:top w:val="single" w:color="auto" w:sz="4" w:space="0"/>
              <w:bottom w:val="single" w:color="auto" w:sz="4" w:space="0"/>
              <w:right w:val="thinThickSmallGap" w:color="auto" w:sz="12" w:space="0"/>
            </w:tcBorders>
            <w:vAlign w:val="center"/>
          </w:tcPr>
          <w:p>
            <w:pPr>
              <w:pStyle w:val="15"/>
              <w:numPr>
                <w:ilvl w:val="0"/>
                <w:numId w:val="3"/>
              </w:numPr>
              <w:spacing w:line="320" w:lineRule="exact"/>
              <w:ind w:firstLineChars="0"/>
            </w:pPr>
            <w:r>
              <w:rPr>
                <w:rFonts w:hint="eastAsia"/>
              </w:rPr>
              <w:t>互联网对实体卖场的冲击（支付手段、线上交易）</w:t>
            </w:r>
          </w:p>
          <w:p>
            <w:pPr>
              <w:pStyle w:val="15"/>
              <w:numPr>
                <w:ilvl w:val="0"/>
                <w:numId w:val="3"/>
              </w:numPr>
              <w:spacing w:line="320" w:lineRule="exact"/>
              <w:ind w:firstLineChars="0"/>
            </w:pPr>
            <w:r>
              <w:rPr>
                <w:rFonts w:hint="eastAsia"/>
              </w:rPr>
              <w:t>如何运用互联网技术提升实体商业的价值（案例赏析、方式介绍）</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20" w:type="dxa"/>
          <w:trHeight w:val="508" w:hRule="atLeast"/>
          <w:jc w:val="center"/>
        </w:trPr>
        <w:tc>
          <w:tcPr>
            <w:tcW w:w="2285" w:type="dxa"/>
            <w:gridSpan w:val="2"/>
            <w:tcBorders>
              <w:top w:val="single" w:color="auto" w:sz="4" w:space="0"/>
              <w:bottom w:val="single" w:color="auto" w:sz="4" w:space="0"/>
            </w:tcBorders>
            <w:vAlign w:val="center"/>
          </w:tcPr>
          <w:p>
            <w:pPr>
              <w:spacing w:line="300" w:lineRule="exact"/>
              <w:ind w:firstLine="843" w:firstLineChars="400"/>
              <w:rPr>
                <w:b/>
              </w:rPr>
            </w:pPr>
            <w:r>
              <w:rPr>
                <w:rFonts w:hint="eastAsia"/>
                <w:b/>
              </w:rPr>
              <w:t>晚上</w:t>
            </w:r>
          </w:p>
        </w:tc>
        <w:tc>
          <w:tcPr>
            <w:tcW w:w="6787" w:type="dxa"/>
            <w:gridSpan w:val="2"/>
            <w:tcBorders>
              <w:top w:val="single" w:color="auto" w:sz="4" w:space="0"/>
              <w:bottom w:val="single" w:color="auto" w:sz="4" w:space="0"/>
              <w:right w:val="thinThickSmallGap" w:color="auto" w:sz="12" w:space="0"/>
            </w:tcBorders>
            <w:vAlign w:val="center"/>
          </w:tcPr>
          <w:p>
            <w:pPr>
              <w:spacing w:line="320" w:lineRule="exact"/>
            </w:pPr>
            <w:r>
              <w:rPr>
                <w:rFonts w:hint="eastAsia"/>
              </w:rPr>
              <w:t>作业、与企业导师面对面交流，深度辅导</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20" w:type="dxa"/>
          <w:trHeight w:val="658" w:hRule="atLeast"/>
          <w:jc w:val="center"/>
        </w:trPr>
        <w:tc>
          <w:tcPr>
            <w:tcW w:w="2285" w:type="dxa"/>
            <w:gridSpan w:val="2"/>
            <w:vMerge w:val="restart"/>
            <w:tcBorders>
              <w:top w:val="single" w:color="auto" w:sz="4" w:space="0"/>
              <w:bottom w:val="single" w:color="auto" w:sz="4" w:space="0"/>
            </w:tcBorders>
            <w:vAlign w:val="center"/>
          </w:tcPr>
          <w:p>
            <w:pPr>
              <w:spacing w:line="360" w:lineRule="auto"/>
              <w:ind w:firstLine="105" w:firstLineChars="50"/>
              <w:jc w:val="center"/>
              <w:rPr>
                <w:b/>
                <w:color w:val="FF0000"/>
              </w:rPr>
            </w:pPr>
            <w:r>
              <w:rPr>
                <w:rFonts w:hint="eastAsia"/>
                <w:b/>
                <w:color w:val="FF0000"/>
              </w:rPr>
              <w:t>3rd Day</w:t>
            </w:r>
          </w:p>
          <w:p>
            <w:pPr>
              <w:spacing w:line="360" w:lineRule="auto"/>
              <w:ind w:firstLine="105" w:firstLineChars="50"/>
              <w:rPr>
                <w:b/>
              </w:rPr>
            </w:pPr>
            <w:r>
              <w:rPr>
                <w:b/>
              </w:rPr>
              <w:t>案例项目现场参观</w:t>
            </w:r>
          </w:p>
          <w:p>
            <w:pPr>
              <w:spacing w:line="360" w:lineRule="auto"/>
              <w:rPr>
                <w:b/>
                <w:color w:val="FF0000"/>
              </w:rPr>
            </w:pPr>
            <w:r>
              <w:rPr>
                <w:b/>
              </w:rPr>
              <w:t>与</w:t>
            </w:r>
            <w:r>
              <w:rPr>
                <w:rFonts w:hint="eastAsia"/>
                <w:b/>
              </w:rPr>
              <w:t>项目负责人交流</w:t>
            </w:r>
          </w:p>
        </w:tc>
        <w:tc>
          <w:tcPr>
            <w:tcW w:w="6787" w:type="dxa"/>
            <w:gridSpan w:val="2"/>
            <w:tcBorders>
              <w:top w:val="single" w:color="auto" w:sz="4" w:space="0"/>
              <w:bottom w:val="single" w:color="auto" w:sz="4" w:space="0"/>
              <w:right w:val="thinThickSmallGap" w:color="auto" w:sz="12" w:space="0"/>
            </w:tcBorders>
            <w:vAlign w:val="center"/>
          </w:tcPr>
          <w:p>
            <w:pPr>
              <w:spacing w:line="320" w:lineRule="exact"/>
            </w:pPr>
            <w:r>
              <w:rPr>
                <w:rFonts w:hint="eastAsia"/>
              </w:rPr>
              <w:t>主题交流：将两天所学内容落地到自身公司，针对性解决学员企业的实际问题</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20" w:type="dxa"/>
          <w:trHeight w:val="1031" w:hRule="atLeast"/>
          <w:jc w:val="center"/>
        </w:trPr>
        <w:tc>
          <w:tcPr>
            <w:tcW w:w="2285" w:type="dxa"/>
            <w:gridSpan w:val="2"/>
            <w:vMerge w:val="continue"/>
            <w:tcBorders>
              <w:top w:val="single" w:color="auto" w:sz="4" w:space="0"/>
              <w:bottom w:val="single" w:color="auto" w:sz="4" w:space="0"/>
            </w:tcBorders>
          </w:tcPr>
          <w:p/>
        </w:tc>
        <w:tc>
          <w:tcPr>
            <w:tcW w:w="6787" w:type="dxa"/>
            <w:gridSpan w:val="2"/>
            <w:tcBorders>
              <w:top w:val="single" w:color="auto" w:sz="4" w:space="0"/>
              <w:bottom w:val="single" w:color="auto" w:sz="4" w:space="0"/>
              <w:right w:val="thinThickSmallGap" w:color="auto" w:sz="12" w:space="0"/>
            </w:tcBorders>
          </w:tcPr>
          <w:p>
            <w:pPr>
              <w:spacing w:line="320" w:lineRule="exact"/>
              <w:rPr>
                <w:rFonts w:asciiTheme="majorEastAsia" w:hAnsiTheme="majorEastAsia" w:eastAsiaTheme="majorEastAsia"/>
              </w:rPr>
            </w:pPr>
            <w:r>
              <w:rPr>
                <w:rFonts w:hint="eastAsia" w:asciiTheme="majorEastAsia" w:hAnsiTheme="majorEastAsia" w:eastAsiaTheme="majorEastAsia"/>
              </w:rPr>
              <w:t>参访</w:t>
            </w:r>
            <w:r>
              <w:rPr>
                <w:rFonts w:asciiTheme="majorEastAsia" w:hAnsiTheme="majorEastAsia" w:eastAsiaTheme="majorEastAsia"/>
              </w:rPr>
              <w:t>案例</w:t>
            </w:r>
          </w:p>
          <w:p>
            <w:pPr>
              <w:spacing w:line="320" w:lineRule="exact"/>
              <w:rPr>
                <w:rFonts w:asciiTheme="majorEastAsia" w:hAnsiTheme="majorEastAsia" w:eastAsiaTheme="majorEastAsia"/>
                <w:b/>
                <w:color w:val="FF0000"/>
              </w:rPr>
            </w:pPr>
            <w:r>
              <w:rPr>
                <w:rFonts w:hint="eastAsia" w:asciiTheme="minorEastAsia" w:hAnsiTheme="minorEastAsia"/>
                <w:szCs w:val="21"/>
              </w:rPr>
              <w:t>◆</w:t>
            </w:r>
            <w:r>
              <w:rPr>
                <w:rFonts w:hint="eastAsia" w:asciiTheme="majorEastAsia" w:hAnsiTheme="majorEastAsia" w:eastAsiaTheme="majorEastAsia"/>
                <w:b/>
                <w:color w:val="FF0000"/>
              </w:rPr>
              <w:t>爱琴海购物中心</w:t>
            </w:r>
          </w:p>
          <w:p>
            <w:pPr>
              <w:spacing w:line="320" w:lineRule="exact"/>
              <w:rPr>
                <w:rFonts w:ascii="Arial" w:hAnsi="Arial" w:cs="Arial"/>
                <w:b/>
                <w:color w:val="FF0000"/>
                <w:szCs w:val="21"/>
                <w:shd w:val="clear" w:color="auto" w:fill="FFFFFF"/>
              </w:rPr>
            </w:pPr>
            <w:r>
              <w:rPr>
                <w:rFonts w:hint="eastAsia" w:asciiTheme="minorEastAsia" w:hAnsiTheme="minorEastAsia"/>
                <w:szCs w:val="21"/>
              </w:rPr>
              <w:t>◆</w:t>
            </w:r>
            <w:r>
              <w:rPr>
                <w:rFonts w:hint="eastAsia" w:ascii="Arial" w:hAnsi="Arial" w:cs="Arial"/>
                <w:b/>
                <w:color w:val="FF0000"/>
                <w:szCs w:val="21"/>
                <w:shd w:val="clear" w:color="auto" w:fill="FFFFFF"/>
              </w:rPr>
              <w:t>鸿坤广场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0" w:type="dxa"/>
          <w:trHeight w:val="790" w:hRule="atLeast"/>
        </w:trPr>
        <w:tc>
          <w:tcPr>
            <w:tcW w:w="9072" w:type="dxa"/>
            <w:gridSpan w:val="4"/>
            <w:tcBorders>
              <w:left w:val="thinThickSmallGap" w:color="auto" w:sz="12" w:space="0"/>
              <w:right w:val="thinThickSmallGap" w:color="auto" w:sz="12" w:space="0"/>
            </w:tcBorders>
            <w:shd w:val="clear" w:color="auto" w:fill="4F6228" w:themeFill="accent3" w:themeFillShade="80"/>
            <w:vAlign w:val="center"/>
          </w:tcPr>
          <w:p>
            <w:pPr>
              <w:widowControl/>
              <w:jc w:val="center"/>
              <w:rPr>
                <w:rFonts w:ascii="黑体" w:hAnsi="黑体" w:eastAsia="黑体"/>
                <w:b/>
                <w:sz w:val="24"/>
                <w:szCs w:val="24"/>
              </w:rPr>
            </w:pPr>
            <w:r>
              <w:rPr>
                <w:rFonts w:hint="eastAsia" w:ascii="黑体" w:hAnsi="黑体" w:eastAsia="黑体"/>
                <w:b/>
                <w:color w:val="FFFFFF" w:themeColor="background1"/>
                <w:sz w:val="24"/>
                <w:szCs w:val="24"/>
              </w:rPr>
              <w:t>产业地产：土地成片开发运营模式、商业模式、风险防控及具体实操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0" w:type="dxa"/>
          <w:trHeight w:val="531" w:hRule="atLeast"/>
        </w:trPr>
        <w:tc>
          <w:tcPr>
            <w:tcW w:w="9072" w:type="dxa"/>
            <w:gridSpan w:val="4"/>
            <w:tcBorders>
              <w:left w:val="thinThickSmallGap" w:color="auto" w:sz="12" w:space="0"/>
              <w:right w:val="thinThickSmallGap" w:color="auto" w:sz="12" w:space="0"/>
            </w:tcBorders>
            <w:vAlign w:val="center"/>
          </w:tcPr>
          <w:p>
            <w:pPr>
              <w:jc w:val="center"/>
              <w:rPr>
                <w:rFonts w:ascii="黑体" w:hAnsi="黑体" w:eastAsia="黑体"/>
                <w:b/>
              </w:rPr>
            </w:pPr>
            <w:r>
              <w:rPr>
                <w:rFonts w:hint="eastAsia" w:ascii="黑体" w:hAnsi="黑体" w:eastAsia="黑体"/>
                <w:b/>
              </w:rPr>
              <w:t>企业导师：刘玲琳      企业导师：段子吟      上课地点：北京（集中授课2天1天参访）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0" w:type="dxa"/>
          <w:trHeight w:val="1361" w:hRule="atLeast"/>
        </w:trPr>
        <w:tc>
          <w:tcPr>
            <w:tcW w:w="2305" w:type="dxa"/>
            <w:gridSpan w:val="3"/>
            <w:tcBorders>
              <w:left w:val="thinThickSmallGap" w:color="auto" w:sz="12" w:space="0"/>
            </w:tcBorders>
            <w:vAlign w:val="center"/>
          </w:tcPr>
          <w:p>
            <w:pPr>
              <w:spacing w:line="300" w:lineRule="exact"/>
              <w:ind w:firstLine="738" w:firstLineChars="350"/>
              <w:rPr>
                <w:b/>
                <w:color w:val="FF0000"/>
                <w:szCs w:val="21"/>
              </w:rPr>
            </w:pPr>
            <w:r>
              <w:rPr>
                <w:rFonts w:hint="eastAsia"/>
                <w:b/>
                <w:color w:val="FF0000"/>
                <w:szCs w:val="21"/>
              </w:rPr>
              <w:t xml:space="preserve">1st </w:t>
            </w:r>
            <w:r>
              <w:rPr>
                <w:rFonts w:hint="eastAsia"/>
                <w:b/>
                <w:color w:val="FF0000"/>
              </w:rPr>
              <w:t>Da</w:t>
            </w:r>
            <w:r>
              <w:rPr>
                <w:rFonts w:hint="eastAsia"/>
                <w:b/>
                <w:color w:val="FF0000"/>
                <w:szCs w:val="21"/>
              </w:rPr>
              <w:t>y</w:t>
            </w:r>
          </w:p>
          <w:p>
            <w:pPr>
              <w:spacing w:line="300" w:lineRule="exact"/>
              <w:ind w:left="1"/>
              <w:jc w:val="center"/>
              <w:rPr>
                <w:b/>
              </w:rPr>
            </w:pPr>
            <w:r>
              <w:rPr>
                <w:rFonts w:hint="eastAsia"/>
                <w:b/>
                <w:color w:val="000000" w:themeColor="text1"/>
                <w:szCs w:val="21"/>
              </w:rPr>
              <w:t>产业地产商业模式解析与甄选指导</w:t>
            </w:r>
          </w:p>
        </w:tc>
        <w:tc>
          <w:tcPr>
            <w:tcW w:w="6767" w:type="dxa"/>
            <w:tcBorders>
              <w:right w:val="thinThickSmallGap" w:color="auto" w:sz="12" w:space="0"/>
            </w:tcBorders>
            <w:vAlign w:val="center"/>
          </w:tcPr>
          <w:p>
            <w:pPr>
              <w:pStyle w:val="15"/>
              <w:widowControl/>
              <w:numPr>
                <w:ilvl w:val="0"/>
                <w:numId w:val="4"/>
              </w:numPr>
              <w:ind w:left="357" w:hanging="357" w:firstLineChars="0"/>
            </w:pPr>
            <w:r>
              <w:rPr>
                <w:rFonts w:hint="eastAsia"/>
              </w:rPr>
              <w:t>产业、文旅地产深度透析</w:t>
            </w:r>
          </w:p>
          <w:p>
            <w:pPr>
              <w:pStyle w:val="15"/>
              <w:widowControl/>
              <w:numPr>
                <w:ilvl w:val="0"/>
                <w:numId w:val="4"/>
              </w:numPr>
              <w:ind w:left="357" w:hanging="357" w:firstLineChars="0"/>
            </w:pPr>
            <w:r>
              <w:rPr>
                <w:rFonts w:hint="eastAsia"/>
              </w:rPr>
              <w:t>产业、文旅地产制胜突破关键瓶颈解读</w:t>
            </w:r>
          </w:p>
          <w:p>
            <w:pPr>
              <w:pStyle w:val="15"/>
              <w:widowControl/>
              <w:numPr>
                <w:ilvl w:val="0"/>
                <w:numId w:val="4"/>
              </w:numPr>
              <w:ind w:left="357" w:hanging="357" w:firstLineChars="0"/>
            </w:pPr>
            <w:r>
              <w:rPr>
                <w:rFonts w:hint="eastAsia"/>
              </w:rPr>
              <w:t>文旅地产方向的升级转型策略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0" w:type="dxa"/>
          <w:trHeight w:val="1112" w:hRule="atLeast"/>
        </w:trPr>
        <w:tc>
          <w:tcPr>
            <w:tcW w:w="2305" w:type="dxa"/>
            <w:gridSpan w:val="3"/>
            <w:tcBorders>
              <w:left w:val="thinThickSmallGap" w:color="auto" w:sz="12" w:space="0"/>
            </w:tcBorders>
            <w:vAlign w:val="center"/>
          </w:tcPr>
          <w:p>
            <w:pPr>
              <w:spacing w:line="300" w:lineRule="exact"/>
              <w:jc w:val="center"/>
              <w:rPr>
                <w:b/>
              </w:rPr>
            </w:pPr>
            <w:r>
              <w:rPr>
                <w:rFonts w:hint="eastAsia"/>
                <w:b/>
              </w:rPr>
              <w:t>规避失败—</w:t>
            </w:r>
          </w:p>
          <w:p>
            <w:pPr>
              <w:spacing w:line="300" w:lineRule="exact"/>
              <w:jc w:val="center"/>
              <w:rPr>
                <w:b/>
              </w:rPr>
            </w:pPr>
            <w:r>
              <w:rPr>
                <w:rFonts w:hint="eastAsia"/>
                <w:b/>
              </w:rPr>
              <w:t>产地地产风险预判与化解</w:t>
            </w:r>
          </w:p>
        </w:tc>
        <w:tc>
          <w:tcPr>
            <w:tcW w:w="6767" w:type="dxa"/>
            <w:tcBorders>
              <w:right w:val="thinThickSmallGap" w:color="auto" w:sz="12" w:space="0"/>
            </w:tcBorders>
            <w:vAlign w:val="center"/>
          </w:tcPr>
          <w:p>
            <w:pPr>
              <w:pStyle w:val="15"/>
              <w:widowControl/>
              <w:numPr>
                <w:ilvl w:val="0"/>
                <w:numId w:val="5"/>
              </w:numPr>
              <w:ind w:left="357" w:hanging="357" w:firstLineChars="0"/>
              <w:rPr>
                <w:color w:val="000000" w:themeColor="text1"/>
                <w:szCs w:val="21"/>
              </w:rPr>
            </w:pPr>
            <w:r>
              <w:rPr>
                <w:rFonts w:hint="eastAsia"/>
                <w:color w:val="000000" w:themeColor="text1"/>
                <w:szCs w:val="21"/>
              </w:rPr>
              <w:t>远离几险四张图</w:t>
            </w:r>
          </w:p>
          <w:p>
            <w:pPr>
              <w:pStyle w:val="15"/>
              <w:widowControl/>
              <w:numPr>
                <w:ilvl w:val="0"/>
                <w:numId w:val="5"/>
              </w:numPr>
              <w:ind w:left="357" w:hanging="357" w:firstLineChars="0"/>
            </w:pPr>
            <w:r>
              <w:rPr>
                <w:rFonts w:hint="eastAsia"/>
              </w:rPr>
              <w:t>九合风险9大雷点解读与规避</w:t>
            </w:r>
          </w:p>
          <w:p>
            <w:pPr>
              <w:pStyle w:val="15"/>
              <w:widowControl/>
              <w:numPr>
                <w:ilvl w:val="0"/>
                <w:numId w:val="5"/>
              </w:numPr>
              <w:ind w:left="357" w:hanging="357" w:firstLineChars="0"/>
            </w:pPr>
            <w:r>
              <w:rPr>
                <w:rFonts w:hint="eastAsia"/>
              </w:rPr>
              <w:t>产业、文旅地产科学的开发流程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0" w:type="dxa"/>
          <w:trHeight w:val="1266" w:hRule="atLeast"/>
        </w:trPr>
        <w:tc>
          <w:tcPr>
            <w:tcW w:w="2305" w:type="dxa"/>
            <w:gridSpan w:val="3"/>
            <w:tcBorders>
              <w:left w:val="thinThickSmallGap" w:color="auto" w:sz="12" w:space="0"/>
            </w:tcBorders>
            <w:vAlign w:val="center"/>
          </w:tcPr>
          <w:p>
            <w:pPr>
              <w:spacing w:line="300" w:lineRule="exact"/>
              <w:ind w:firstLine="632" w:firstLineChars="300"/>
              <w:rPr>
                <w:b/>
                <w:color w:val="FF0000"/>
              </w:rPr>
            </w:pPr>
            <w:r>
              <w:rPr>
                <w:rFonts w:hint="eastAsia"/>
                <w:b/>
                <w:color w:val="FF0000"/>
              </w:rPr>
              <w:t>2nd Day</w:t>
            </w:r>
          </w:p>
          <w:p>
            <w:pPr>
              <w:spacing w:line="300" w:lineRule="exact"/>
              <w:ind w:left="632" w:hanging="632" w:hangingChars="300"/>
              <w:jc w:val="center"/>
              <w:rPr>
                <w:b/>
                <w:color w:val="000000" w:themeColor="text1"/>
              </w:rPr>
            </w:pPr>
            <w:r>
              <w:rPr>
                <w:rFonts w:hint="eastAsia"/>
                <w:b/>
                <w:color w:val="000000" w:themeColor="text1"/>
              </w:rPr>
              <w:t>增强利润空间</w:t>
            </w:r>
          </w:p>
          <w:p>
            <w:pPr>
              <w:spacing w:line="300" w:lineRule="exact"/>
              <w:ind w:left="632" w:hanging="632" w:hangingChars="300"/>
              <w:jc w:val="center"/>
              <w:rPr>
                <w:b/>
              </w:rPr>
            </w:pPr>
            <w:r>
              <w:rPr>
                <w:rFonts w:hint="eastAsia"/>
                <w:b/>
                <w:color w:val="000000" w:themeColor="text1"/>
              </w:rPr>
              <w:t>产业地产实操四要</w:t>
            </w:r>
          </w:p>
        </w:tc>
        <w:tc>
          <w:tcPr>
            <w:tcW w:w="6767" w:type="dxa"/>
            <w:tcBorders>
              <w:right w:val="thinThickSmallGap" w:color="auto" w:sz="12" w:space="0"/>
            </w:tcBorders>
            <w:vAlign w:val="center"/>
          </w:tcPr>
          <w:p>
            <w:pPr>
              <w:pStyle w:val="15"/>
              <w:numPr>
                <w:ilvl w:val="0"/>
                <w:numId w:val="6"/>
              </w:numPr>
              <w:spacing w:line="320" w:lineRule="exact"/>
              <w:ind w:firstLineChars="0"/>
              <w:rPr>
                <w:color w:val="000000" w:themeColor="text1"/>
                <w:szCs w:val="21"/>
              </w:rPr>
            </w:pPr>
            <w:r>
              <w:rPr>
                <w:rFonts w:hint="eastAsia"/>
                <w:color w:val="000000" w:themeColor="text1"/>
                <w:szCs w:val="21"/>
              </w:rPr>
              <w:t>价值研判-模型与研判标准</w:t>
            </w:r>
          </w:p>
          <w:p>
            <w:pPr>
              <w:pStyle w:val="15"/>
              <w:numPr>
                <w:ilvl w:val="0"/>
                <w:numId w:val="6"/>
              </w:numPr>
              <w:spacing w:line="320" w:lineRule="exact"/>
              <w:ind w:firstLineChars="0"/>
              <w:rPr>
                <w:color w:val="000000" w:themeColor="text1"/>
                <w:szCs w:val="21"/>
              </w:rPr>
            </w:pPr>
            <w:r>
              <w:rPr>
                <w:rFonts w:hint="eastAsia"/>
                <w:color w:val="000000" w:themeColor="text1"/>
                <w:szCs w:val="21"/>
              </w:rPr>
              <w:t>尽职调查-系统性模板与关键点</w:t>
            </w:r>
          </w:p>
          <w:p>
            <w:pPr>
              <w:pStyle w:val="15"/>
              <w:numPr>
                <w:ilvl w:val="0"/>
                <w:numId w:val="6"/>
              </w:numPr>
              <w:spacing w:line="320" w:lineRule="exact"/>
              <w:ind w:firstLineChars="0"/>
              <w:rPr>
                <w:color w:val="000000" w:themeColor="text1"/>
                <w:szCs w:val="21"/>
              </w:rPr>
            </w:pPr>
            <w:r>
              <w:rPr>
                <w:rFonts w:hint="eastAsia"/>
                <w:color w:val="000000" w:themeColor="text1"/>
                <w:szCs w:val="21"/>
              </w:rPr>
              <w:t>综合定位-资金平衡导向如何落地</w:t>
            </w:r>
          </w:p>
          <w:p>
            <w:pPr>
              <w:pStyle w:val="15"/>
              <w:numPr>
                <w:ilvl w:val="0"/>
                <w:numId w:val="6"/>
              </w:numPr>
              <w:spacing w:line="320" w:lineRule="exact"/>
              <w:ind w:firstLineChars="0"/>
              <w:rPr>
                <w:color w:val="000000" w:themeColor="text1"/>
                <w:szCs w:val="21"/>
              </w:rPr>
            </w:pPr>
            <w:r>
              <w:rPr>
                <w:rFonts w:hint="eastAsia"/>
                <w:color w:val="000000" w:themeColor="text1"/>
                <w:szCs w:val="21"/>
              </w:rPr>
              <w:t>爆品设计-省钱、赚钱、产品好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0" w:type="dxa"/>
          <w:trHeight w:val="1173" w:hRule="atLeast"/>
        </w:trPr>
        <w:tc>
          <w:tcPr>
            <w:tcW w:w="2305" w:type="dxa"/>
            <w:gridSpan w:val="3"/>
            <w:tcBorders>
              <w:left w:val="thinThickSmallGap" w:color="auto" w:sz="12" w:space="0"/>
            </w:tcBorders>
            <w:vAlign w:val="center"/>
          </w:tcPr>
          <w:p>
            <w:pPr>
              <w:spacing w:line="300" w:lineRule="exact"/>
              <w:ind w:left="632" w:hanging="632" w:hangingChars="300"/>
              <w:jc w:val="center"/>
              <w:rPr>
                <w:b/>
                <w:color w:val="000000" w:themeColor="text1"/>
              </w:rPr>
            </w:pPr>
            <w:r>
              <w:rPr>
                <w:rFonts w:hint="eastAsia"/>
                <w:b/>
                <w:color w:val="000000" w:themeColor="text1"/>
              </w:rPr>
              <w:t>突破思维—</w:t>
            </w:r>
          </w:p>
          <w:p>
            <w:pPr>
              <w:spacing w:line="300" w:lineRule="exact"/>
              <w:ind w:left="1" w:firstLine="34" w:firstLineChars="16"/>
              <w:jc w:val="center"/>
              <w:rPr>
                <w:b/>
                <w:color w:val="000000" w:themeColor="text1"/>
              </w:rPr>
            </w:pPr>
            <w:r>
              <w:rPr>
                <w:rFonts w:hint="eastAsia"/>
                <w:b/>
                <w:color w:val="000000" w:themeColor="text1"/>
              </w:rPr>
              <w:t>爆品项目产品设计实操</w:t>
            </w:r>
          </w:p>
        </w:tc>
        <w:tc>
          <w:tcPr>
            <w:tcW w:w="6767" w:type="dxa"/>
            <w:tcBorders>
              <w:right w:val="thinThickSmallGap" w:color="auto" w:sz="12" w:space="0"/>
            </w:tcBorders>
            <w:vAlign w:val="center"/>
          </w:tcPr>
          <w:p>
            <w:pPr>
              <w:pStyle w:val="15"/>
              <w:numPr>
                <w:ilvl w:val="0"/>
                <w:numId w:val="7"/>
              </w:numPr>
              <w:spacing w:line="320" w:lineRule="exact"/>
              <w:ind w:firstLineChars="0"/>
              <w:rPr>
                <w:color w:val="000000" w:themeColor="text1"/>
                <w:szCs w:val="21"/>
              </w:rPr>
            </w:pPr>
            <w:r>
              <w:rPr>
                <w:rFonts w:hint="eastAsia"/>
                <w:color w:val="000000" w:themeColor="text1"/>
                <w:szCs w:val="21"/>
              </w:rPr>
              <w:t>突破思维-产品设计的内力导入</w:t>
            </w:r>
          </w:p>
          <w:p>
            <w:pPr>
              <w:pStyle w:val="15"/>
              <w:numPr>
                <w:ilvl w:val="0"/>
                <w:numId w:val="7"/>
              </w:numPr>
              <w:spacing w:line="320" w:lineRule="exact"/>
              <w:ind w:firstLineChars="0"/>
              <w:rPr>
                <w:color w:val="000000" w:themeColor="text1"/>
                <w:szCs w:val="21"/>
              </w:rPr>
            </w:pPr>
            <w:r>
              <w:rPr>
                <w:rFonts w:hint="eastAsia"/>
                <w:color w:val="000000" w:themeColor="text1"/>
                <w:szCs w:val="21"/>
              </w:rPr>
              <w:t>突破思维-产品的三个买单方</w:t>
            </w:r>
          </w:p>
          <w:p>
            <w:pPr>
              <w:pStyle w:val="15"/>
              <w:numPr>
                <w:ilvl w:val="0"/>
                <w:numId w:val="7"/>
              </w:numPr>
              <w:spacing w:line="320" w:lineRule="exact"/>
              <w:ind w:firstLineChars="0"/>
              <w:rPr>
                <w:color w:val="000000" w:themeColor="text1"/>
                <w:szCs w:val="21"/>
              </w:rPr>
            </w:pPr>
            <w:r>
              <w:rPr>
                <w:rFonts w:hint="eastAsia"/>
                <w:color w:val="000000" w:themeColor="text1"/>
                <w:szCs w:val="21"/>
              </w:rPr>
              <w:t>爆品特征与实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0" w:type="dxa"/>
          <w:trHeight w:val="599" w:hRule="atLeast"/>
        </w:trPr>
        <w:tc>
          <w:tcPr>
            <w:tcW w:w="2305" w:type="dxa"/>
            <w:gridSpan w:val="3"/>
            <w:tcBorders>
              <w:left w:val="thinThickSmallGap" w:color="auto" w:sz="12" w:space="0"/>
            </w:tcBorders>
            <w:vAlign w:val="center"/>
          </w:tcPr>
          <w:p>
            <w:pPr>
              <w:spacing w:line="300" w:lineRule="exact"/>
              <w:ind w:left="632" w:hanging="632" w:hangingChars="300"/>
              <w:jc w:val="center"/>
              <w:rPr>
                <w:b/>
                <w:color w:val="000000" w:themeColor="text1"/>
              </w:rPr>
            </w:pPr>
            <w:r>
              <w:rPr>
                <w:rFonts w:hint="eastAsia"/>
                <w:b/>
                <w:color w:val="000000" w:themeColor="text1"/>
              </w:rPr>
              <w:t>晚上</w:t>
            </w:r>
          </w:p>
          <w:p>
            <w:pPr>
              <w:spacing w:line="300" w:lineRule="exact"/>
              <w:ind w:left="632" w:hanging="632" w:hangingChars="300"/>
              <w:jc w:val="center"/>
              <w:rPr>
                <w:b/>
                <w:color w:val="000000" w:themeColor="text1"/>
              </w:rPr>
            </w:pPr>
            <w:r>
              <w:rPr>
                <w:rFonts w:hint="eastAsia"/>
                <w:b/>
                <w:color w:val="000000" w:themeColor="text1"/>
              </w:rPr>
              <w:t>联合问诊</w:t>
            </w:r>
          </w:p>
        </w:tc>
        <w:tc>
          <w:tcPr>
            <w:tcW w:w="6767" w:type="dxa"/>
            <w:tcBorders>
              <w:right w:val="thinThickSmallGap" w:color="auto" w:sz="12" w:space="0"/>
            </w:tcBorders>
            <w:vAlign w:val="center"/>
          </w:tcPr>
          <w:p>
            <w:pPr>
              <w:spacing w:line="320" w:lineRule="exact"/>
              <w:rPr>
                <w:color w:val="000000" w:themeColor="text1"/>
                <w:szCs w:val="21"/>
              </w:rPr>
            </w:pPr>
            <w:r>
              <w:rPr>
                <w:rFonts w:hint="eastAsia"/>
                <w:color w:val="000000" w:themeColor="text1"/>
                <w:szCs w:val="21"/>
              </w:rPr>
              <w:t>当场解决参会企业难题或指明解决方向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0" w:type="dxa"/>
          <w:trHeight w:val="1073" w:hRule="atLeast"/>
        </w:trPr>
        <w:tc>
          <w:tcPr>
            <w:tcW w:w="2305" w:type="dxa"/>
            <w:gridSpan w:val="3"/>
            <w:tcBorders>
              <w:left w:val="thinThickSmallGap" w:color="auto" w:sz="12" w:space="0"/>
              <w:bottom w:val="thinThickSmallGap" w:color="auto" w:sz="12" w:space="0"/>
            </w:tcBorders>
            <w:vAlign w:val="center"/>
          </w:tcPr>
          <w:p>
            <w:pPr>
              <w:spacing w:line="360" w:lineRule="auto"/>
              <w:ind w:firstLine="632" w:firstLineChars="300"/>
              <w:rPr>
                <w:b/>
                <w:color w:val="FF0000"/>
              </w:rPr>
            </w:pPr>
            <w:r>
              <w:rPr>
                <w:rFonts w:hint="eastAsia"/>
                <w:b/>
                <w:color w:val="FF0000"/>
              </w:rPr>
              <w:t>3rd Day</w:t>
            </w:r>
          </w:p>
          <w:p>
            <w:pPr>
              <w:spacing w:line="360" w:lineRule="auto"/>
              <w:ind w:firstLine="105" w:firstLineChars="50"/>
              <w:rPr>
                <w:b/>
                <w:color w:val="FF0000"/>
              </w:rPr>
            </w:pPr>
            <w:r>
              <w:rPr>
                <w:b/>
              </w:rPr>
              <w:t>案例项目现场参观</w:t>
            </w:r>
          </w:p>
          <w:p>
            <w:pPr>
              <w:spacing w:line="300" w:lineRule="exact"/>
              <w:ind w:left="632" w:hanging="632" w:hangingChars="300"/>
              <w:jc w:val="center"/>
              <w:rPr>
                <w:b/>
                <w:color w:val="000000" w:themeColor="text1"/>
              </w:rPr>
            </w:pPr>
            <w:r>
              <w:rPr>
                <w:b/>
              </w:rPr>
              <w:t>与</w:t>
            </w:r>
            <w:r>
              <w:rPr>
                <w:rFonts w:hint="eastAsia"/>
                <w:b/>
              </w:rPr>
              <w:t>项目负责人交流</w:t>
            </w:r>
          </w:p>
        </w:tc>
        <w:tc>
          <w:tcPr>
            <w:tcW w:w="6767" w:type="dxa"/>
            <w:tcBorders>
              <w:bottom w:val="thinThickSmallGap" w:color="auto" w:sz="12" w:space="0"/>
              <w:right w:val="thinThickSmallGap" w:color="auto" w:sz="12" w:space="0"/>
            </w:tcBorders>
            <w:vAlign w:val="center"/>
          </w:tcPr>
          <w:p>
            <w:pPr>
              <w:spacing w:line="320" w:lineRule="exact"/>
              <w:rPr>
                <w:rFonts w:asciiTheme="minorEastAsia" w:hAnsiTheme="minorEastAsia"/>
                <w:szCs w:val="21"/>
              </w:rPr>
            </w:pPr>
            <w:r>
              <w:rPr>
                <w:rFonts w:hint="eastAsia" w:asciiTheme="minorEastAsia" w:hAnsiTheme="minorEastAsia"/>
                <w:szCs w:val="21"/>
              </w:rPr>
              <w:t>参访案例</w:t>
            </w:r>
          </w:p>
          <w:p>
            <w:pPr>
              <w:spacing w:line="320" w:lineRule="exact"/>
              <w:rPr>
                <w:color w:val="000000" w:themeColor="text1"/>
                <w:szCs w:val="21"/>
              </w:rPr>
            </w:pPr>
            <w:r>
              <w:rPr>
                <w:rFonts w:hint="eastAsia" w:asciiTheme="minorEastAsia" w:hAnsiTheme="minorEastAsia"/>
                <w:szCs w:val="21"/>
              </w:rPr>
              <w:t>◆</w:t>
            </w:r>
            <w:r>
              <w:rPr>
                <w:rFonts w:hint="eastAsia"/>
                <w:b/>
                <w:color w:val="FF0000"/>
                <w:szCs w:val="21"/>
              </w:rPr>
              <w:t>长城脚下饮马川</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20" w:type="dxa"/>
          <w:trHeight w:val="622" w:hRule="atLeast"/>
          <w:jc w:val="center"/>
        </w:trPr>
        <w:tc>
          <w:tcPr>
            <w:tcW w:w="9072" w:type="dxa"/>
            <w:gridSpan w:val="4"/>
            <w:shd w:val="clear" w:color="auto" w:fill="4F6228" w:themeFill="accent3" w:themeFillShade="80"/>
            <w:vAlign w:val="center"/>
          </w:tcPr>
          <w:p>
            <w:pPr>
              <w:spacing w:line="360" w:lineRule="auto"/>
              <w:ind w:firstLine="1205" w:firstLineChars="500"/>
              <w:rPr>
                <w:rFonts w:ascii="黑体" w:hAnsi="黑体" w:eastAsia="黑体"/>
                <w:b/>
                <w:color w:val="FFFFFF" w:themeColor="background1"/>
                <w:sz w:val="24"/>
                <w:szCs w:val="24"/>
              </w:rPr>
            </w:pPr>
            <w:r>
              <w:rPr>
                <w:rFonts w:hint="eastAsia" w:ascii="黑体" w:hAnsi="黑体" w:eastAsia="黑体"/>
                <w:b/>
                <w:color w:val="FFFFFF" w:themeColor="background1"/>
                <w:sz w:val="24"/>
                <w:szCs w:val="24"/>
              </w:rPr>
              <w:t>后期管理：</w:t>
            </w:r>
            <w:r>
              <w:rPr>
                <w:rFonts w:ascii="黑体" w:hAnsi="黑体" w:eastAsia="黑体"/>
                <w:b/>
                <w:color w:val="FFFFFF" w:themeColor="background1"/>
                <w:sz w:val="24"/>
                <w:szCs w:val="24"/>
              </w:rPr>
              <w:t>融资规划、资产管理与资本管理、规划设计与营运管理</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20" w:type="dxa"/>
          <w:trHeight w:val="531" w:hRule="atLeast"/>
          <w:jc w:val="center"/>
        </w:trPr>
        <w:tc>
          <w:tcPr>
            <w:tcW w:w="9072" w:type="dxa"/>
            <w:gridSpan w:val="4"/>
            <w:shd w:val="clear" w:color="auto" w:fill="auto"/>
            <w:vAlign w:val="center"/>
          </w:tcPr>
          <w:p>
            <w:pPr>
              <w:ind w:firstLine="1054" w:firstLineChars="500"/>
              <w:jc w:val="left"/>
              <w:rPr>
                <w:rFonts w:ascii="黑体" w:hAnsi="黑体" w:eastAsia="黑体"/>
              </w:rPr>
            </w:pPr>
            <w:r>
              <w:rPr>
                <w:rFonts w:hint="eastAsia" w:ascii="黑体" w:hAnsi="黑体" w:eastAsia="黑体"/>
                <w:b/>
              </w:rPr>
              <w:t>企业导师：陈晨           上课地点：上海 （集中授课2天1天参访））</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20" w:type="dxa"/>
          <w:trHeight w:val="1928" w:hRule="atLeast"/>
          <w:jc w:val="center"/>
        </w:trPr>
        <w:tc>
          <w:tcPr>
            <w:tcW w:w="2285" w:type="dxa"/>
            <w:gridSpan w:val="2"/>
            <w:vAlign w:val="center"/>
          </w:tcPr>
          <w:p>
            <w:pPr>
              <w:spacing w:line="300" w:lineRule="exact"/>
              <w:ind w:left="632" w:hanging="632" w:hangingChars="300"/>
              <w:rPr>
                <w:b/>
              </w:rPr>
            </w:pPr>
          </w:p>
          <w:p>
            <w:pPr>
              <w:spacing w:line="300" w:lineRule="exact"/>
              <w:ind w:firstLine="632" w:firstLineChars="300"/>
              <w:rPr>
                <w:b/>
                <w:color w:val="FF0000"/>
                <w:szCs w:val="21"/>
              </w:rPr>
            </w:pPr>
            <w:r>
              <w:rPr>
                <w:rFonts w:hint="eastAsia"/>
                <w:b/>
                <w:color w:val="FF0000"/>
                <w:szCs w:val="21"/>
              </w:rPr>
              <w:t xml:space="preserve">1st </w:t>
            </w:r>
            <w:r>
              <w:rPr>
                <w:rFonts w:hint="eastAsia"/>
                <w:b/>
                <w:color w:val="FF0000"/>
              </w:rPr>
              <w:t>Da</w:t>
            </w:r>
            <w:r>
              <w:rPr>
                <w:rFonts w:hint="eastAsia"/>
                <w:b/>
                <w:color w:val="FF0000"/>
                <w:szCs w:val="21"/>
              </w:rPr>
              <w:t>y</w:t>
            </w:r>
          </w:p>
          <w:p>
            <w:pPr>
              <w:spacing w:line="300" w:lineRule="exact"/>
              <w:ind w:left="843" w:hanging="843" w:hangingChars="400"/>
              <w:rPr>
                <w:b/>
              </w:rPr>
            </w:pPr>
            <w:r>
              <w:rPr>
                <w:b/>
              </w:rPr>
              <w:t>商业地产的资产证券化</w:t>
            </w:r>
          </w:p>
          <w:p/>
        </w:tc>
        <w:tc>
          <w:tcPr>
            <w:tcW w:w="6787" w:type="dxa"/>
            <w:gridSpan w:val="2"/>
            <w:vAlign w:val="center"/>
          </w:tcPr>
          <w:p>
            <w:pPr>
              <w:spacing w:line="320" w:lineRule="exact"/>
            </w:pPr>
            <w:r>
              <w:t>1、新常态下的房地产四大增长点</w:t>
            </w:r>
            <w:r>
              <w:rPr>
                <w:rFonts w:hint="eastAsia"/>
              </w:rPr>
              <w:t xml:space="preserve">    2、</w:t>
            </w:r>
            <w:r>
              <w:t>金融地产运作模式</w:t>
            </w:r>
          </w:p>
          <w:p>
            <w:pPr>
              <w:spacing w:line="320" w:lineRule="exact"/>
            </w:pPr>
            <w:r>
              <w:t>3</w:t>
            </w:r>
            <w:r>
              <w:rPr>
                <w:rFonts w:hint="eastAsia"/>
              </w:rPr>
              <w:t>、</w:t>
            </w:r>
            <w:r>
              <w:t>资本与资产双轮驱动4</w:t>
            </w:r>
            <w:r>
              <w:rPr>
                <w:rFonts w:hint="eastAsia"/>
              </w:rPr>
              <w:t>、金融</w:t>
            </w:r>
            <w:r>
              <w:t>地产的主流模式解析</w:t>
            </w:r>
          </w:p>
          <w:p>
            <w:pPr>
              <w:spacing w:line="320" w:lineRule="exact"/>
            </w:pPr>
            <w:r>
              <w:t>5、资产证券化与资产管理6、资本管理与房地产证券化</w:t>
            </w:r>
          </w:p>
          <w:p>
            <w:pPr>
              <w:spacing w:line="320" w:lineRule="exact"/>
            </w:pPr>
            <w:r>
              <w:t>7、欧美和中国房地产资本市场比较</w:t>
            </w:r>
          </w:p>
          <w:p>
            <w:pPr>
              <w:spacing w:line="320" w:lineRule="exact"/>
            </w:pPr>
            <w:r>
              <w:t>8、影响房地产投资决策的五大因素</w:t>
            </w:r>
          </w:p>
          <w:p>
            <w:pPr>
              <w:spacing w:line="320" w:lineRule="exact"/>
            </w:pPr>
            <w:r>
              <w:t>9、总结：金融主导地产的成与败</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20" w:type="dxa"/>
          <w:trHeight w:val="508" w:hRule="atLeast"/>
          <w:jc w:val="center"/>
        </w:trPr>
        <w:tc>
          <w:tcPr>
            <w:tcW w:w="2285" w:type="dxa"/>
            <w:gridSpan w:val="2"/>
            <w:vAlign w:val="center"/>
          </w:tcPr>
          <w:p>
            <w:pPr>
              <w:ind w:firstLine="738" w:firstLineChars="350"/>
              <w:rPr>
                <w:b/>
              </w:rPr>
            </w:pPr>
            <w:r>
              <w:rPr>
                <w:rFonts w:hint="eastAsia"/>
                <w:b/>
              </w:rPr>
              <w:t>晚上</w:t>
            </w:r>
          </w:p>
        </w:tc>
        <w:tc>
          <w:tcPr>
            <w:tcW w:w="6787" w:type="dxa"/>
            <w:gridSpan w:val="2"/>
            <w:vAlign w:val="center"/>
          </w:tcPr>
          <w:p>
            <w:pPr>
              <w:spacing w:line="320" w:lineRule="exact"/>
            </w:pPr>
            <w:r>
              <w:rPr>
                <w:rFonts w:hint="eastAsia"/>
              </w:rPr>
              <w:t>董事长</w:t>
            </w:r>
            <w:r>
              <w:t>私享晚宴</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20" w:type="dxa"/>
          <w:trHeight w:val="1098" w:hRule="atLeast"/>
          <w:jc w:val="center"/>
        </w:trPr>
        <w:tc>
          <w:tcPr>
            <w:tcW w:w="2285" w:type="dxa"/>
            <w:gridSpan w:val="2"/>
            <w:vAlign w:val="center"/>
          </w:tcPr>
          <w:p>
            <w:pPr>
              <w:spacing w:line="300" w:lineRule="exact"/>
              <w:ind w:firstLine="632" w:firstLineChars="300"/>
              <w:rPr>
                <w:b/>
                <w:color w:val="FF0000"/>
              </w:rPr>
            </w:pPr>
            <w:r>
              <w:rPr>
                <w:rFonts w:hint="eastAsia"/>
                <w:b/>
                <w:color w:val="FF0000"/>
              </w:rPr>
              <w:t>2nd Day</w:t>
            </w:r>
          </w:p>
          <w:p>
            <w:pPr>
              <w:spacing w:line="300" w:lineRule="exact"/>
              <w:ind w:left="527" w:hanging="527" w:hangingChars="250"/>
              <w:rPr>
                <w:b/>
              </w:rPr>
            </w:pPr>
            <w:r>
              <w:rPr>
                <w:rFonts w:hint="eastAsia"/>
                <w:b/>
              </w:rPr>
              <w:t>商业地产资产管理与资本管理</w:t>
            </w:r>
          </w:p>
        </w:tc>
        <w:tc>
          <w:tcPr>
            <w:tcW w:w="6787" w:type="dxa"/>
            <w:gridSpan w:val="2"/>
            <w:vAlign w:val="center"/>
          </w:tcPr>
          <w:p>
            <w:pPr>
              <w:spacing w:line="320" w:lineRule="exact"/>
            </w:pPr>
            <w:r>
              <w:rPr>
                <w:rFonts w:hint="eastAsia"/>
              </w:rPr>
              <w:t>1、</w:t>
            </w:r>
            <w:r>
              <w:t>资产全生命周期与资产处置</w:t>
            </w:r>
            <w:r>
              <w:rPr>
                <w:rFonts w:hint="eastAsia"/>
              </w:rPr>
              <w:t xml:space="preserve">      2、</w:t>
            </w:r>
            <w:r>
              <w:t>开发投资组合战略与资产管理</w:t>
            </w:r>
          </w:p>
          <w:p>
            <w:pPr>
              <w:spacing w:line="320" w:lineRule="exact"/>
            </w:pPr>
            <w:r>
              <w:rPr>
                <w:rFonts w:hint="eastAsia"/>
              </w:rPr>
              <w:t>3、</w:t>
            </w:r>
            <w:r>
              <w:t>资产管理与资产价值最大化</w:t>
            </w:r>
            <w:r>
              <w:rPr>
                <w:rFonts w:hint="eastAsia"/>
              </w:rPr>
              <w:t xml:space="preserve">       4、</w:t>
            </w:r>
            <w:r>
              <w:t>举足轻重的资产运营</w:t>
            </w:r>
          </w:p>
          <w:p>
            <w:pPr>
              <w:spacing w:line="320" w:lineRule="exact"/>
            </w:pPr>
            <w:r>
              <w:rPr>
                <w:rFonts w:hint="eastAsia"/>
              </w:rPr>
              <w:t>5、</w:t>
            </w:r>
            <w:r>
              <w:t>资产管理的标准化</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20" w:type="dxa"/>
          <w:trHeight w:val="1853" w:hRule="atLeast"/>
          <w:jc w:val="center"/>
        </w:trPr>
        <w:tc>
          <w:tcPr>
            <w:tcW w:w="2285" w:type="dxa"/>
            <w:gridSpan w:val="2"/>
            <w:vAlign w:val="center"/>
          </w:tcPr>
          <w:p>
            <w:pPr>
              <w:ind w:firstLine="105" w:firstLineChars="50"/>
              <w:rPr>
                <w:b/>
              </w:rPr>
            </w:pPr>
          </w:p>
          <w:p>
            <w:pPr>
              <w:widowControl/>
              <w:spacing w:line="300" w:lineRule="exact"/>
              <w:rPr>
                <w:b/>
              </w:rPr>
            </w:pPr>
          </w:p>
          <w:p>
            <w:pPr>
              <w:widowControl/>
              <w:spacing w:line="300" w:lineRule="exact"/>
              <w:ind w:left="211" w:hanging="211" w:hangingChars="100"/>
              <w:rPr>
                <w:b/>
              </w:rPr>
            </w:pPr>
            <w:r>
              <w:rPr>
                <w:b/>
              </w:rPr>
              <w:t>商业地产规划设计与营运管理的互动</w:t>
            </w:r>
          </w:p>
        </w:tc>
        <w:tc>
          <w:tcPr>
            <w:tcW w:w="6787" w:type="dxa"/>
            <w:gridSpan w:val="2"/>
            <w:vAlign w:val="center"/>
          </w:tcPr>
          <w:p>
            <w:pPr>
              <w:spacing w:line="320" w:lineRule="exact"/>
            </w:pPr>
            <w:r>
              <w:t>1、商业房地产的规划与定位策略</w:t>
            </w:r>
          </w:p>
          <w:p>
            <w:pPr>
              <w:spacing w:line="320" w:lineRule="exact"/>
            </w:pPr>
            <w:r>
              <w:t>2、商业房地产的品牌与市场推广</w:t>
            </w:r>
          </w:p>
          <w:p>
            <w:pPr>
              <w:spacing w:line="320" w:lineRule="exact"/>
            </w:pPr>
            <w:r>
              <w:t>3、商业房地产的业态组合与建筑规划</w:t>
            </w:r>
          </w:p>
          <w:p>
            <w:pPr>
              <w:spacing w:line="320" w:lineRule="exact"/>
            </w:pPr>
            <w:r>
              <w:t>4、商业房地产的前期开发管理与后期招商运营的互动</w:t>
            </w:r>
          </w:p>
          <w:p>
            <w:pPr>
              <w:spacing w:line="320" w:lineRule="exact"/>
            </w:pPr>
            <w:r>
              <w:t>5、商业房地产的可持续发展</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20" w:type="dxa"/>
          <w:trHeight w:val="516" w:hRule="atLeast"/>
          <w:jc w:val="center"/>
        </w:trPr>
        <w:tc>
          <w:tcPr>
            <w:tcW w:w="2285" w:type="dxa"/>
            <w:gridSpan w:val="2"/>
            <w:vAlign w:val="center"/>
          </w:tcPr>
          <w:p>
            <w:pPr>
              <w:ind w:firstLine="738" w:firstLineChars="350"/>
              <w:rPr>
                <w:b/>
              </w:rPr>
            </w:pPr>
            <w:r>
              <w:rPr>
                <w:rFonts w:hint="eastAsia"/>
                <w:b/>
              </w:rPr>
              <w:t>晚上</w:t>
            </w:r>
          </w:p>
        </w:tc>
        <w:tc>
          <w:tcPr>
            <w:tcW w:w="6787" w:type="dxa"/>
            <w:gridSpan w:val="2"/>
            <w:vAlign w:val="center"/>
          </w:tcPr>
          <w:p>
            <w:pPr>
              <w:spacing w:line="320" w:lineRule="exact"/>
              <w:rPr>
                <w:sz w:val="24"/>
                <w:szCs w:val="24"/>
              </w:rPr>
            </w:pPr>
            <w:r>
              <w:rPr>
                <w:rFonts w:hint="eastAsia"/>
              </w:rPr>
              <w:t>作业，与企业导师面对面交流，深度辅导</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20" w:type="dxa"/>
          <w:trHeight w:val="960" w:hRule="atLeast"/>
          <w:jc w:val="center"/>
        </w:trPr>
        <w:tc>
          <w:tcPr>
            <w:tcW w:w="2285" w:type="dxa"/>
            <w:gridSpan w:val="2"/>
            <w:vMerge w:val="restart"/>
            <w:vAlign w:val="center"/>
          </w:tcPr>
          <w:p/>
          <w:p>
            <w:pPr>
              <w:spacing w:line="360" w:lineRule="auto"/>
              <w:ind w:firstLine="632" w:firstLineChars="300"/>
              <w:rPr>
                <w:b/>
                <w:color w:val="FF0000"/>
              </w:rPr>
            </w:pPr>
            <w:r>
              <w:rPr>
                <w:rFonts w:hint="eastAsia"/>
                <w:b/>
                <w:color w:val="FF0000"/>
              </w:rPr>
              <w:t>3rd Day</w:t>
            </w:r>
          </w:p>
          <w:p>
            <w:pPr>
              <w:spacing w:line="360" w:lineRule="auto"/>
              <w:ind w:firstLine="211" w:firstLineChars="100"/>
              <w:rPr>
                <w:b/>
              </w:rPr>
            </w:pPr>
            <w:r>
              <w:rPr>
                <w:b/>
              </w:rPr>
              <w:t>案例项目现场参观</w:t>
            </w:r>
          </w:p>
          <w:p>
            <w:pPr>
              <w:ind w:firstLine="211" w:firstLineChars="100"/>
              <w:rPr>
                <w:b/>
              </w:rPr>
            </w:pPr>
            <w:r>
              <w:rPr>
                <w:b/>
              </w:rPr>
              <w:t>与</w:t>
            </w:r>
            <w:r>
              <w:rPr>
                <w:rFonts w:hint="eastAsia"/>
                <w:b/>
              </w:rPr>
              <w:t>项目负责人交流</w:t>
            </w:r>
          </w:p>
        </w:tc>
        <w:tc>
          <w:tcPr>
            <w:tcW w:w="6787" w:type="dxa"/>
            <w:gridSpan w:val="2"/>
            <w:vAlign w:val="center"/>
          </w:tcPr>
          <w:p>
            <w:pPr>
              <w:spacing w:line="320" w:lineRule="exact"/>
            </w:pPr>
            <w:r>
              <w:rPr>
                <w:rFonts w:hint="eastAsia"/>
              </w:rPr>
              <w:t>主题交流：如何将2天所学内容落地到自身公司，针对性解决学员企业的实际问题</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20" w:type="dxa"/>
          <w:trHeight w:val="960" w:hRule="atLeast"/>
          <w:jc w:val="center"/>
        </w:trPr>
        <w:tc>
          <w:tcPr>
            <w:tcW w:w="2285" w:type="dxa"/>
            <w:gridSpan w:val="2"/>
            <w:vMerge w:val="continue"/>
            <w:vAlign w:val="center"/>
          </w:tcPr>
          <w:p/>
        </w:tc>
        <w:tc>
          <w:tcPr>
            <w:tcW w:w="6787" w:type="dxa"/>
            <w:gridSpan w:val="2"/>
            <w:vAlign w:val="center"/>
          </w:tcPr>
          <w:p>
            <w:pPr>
              <w:spacing w:line="320" w:lineRule="exact"/>
            </w:pPr>
            <w:r>
              <w:rPr>
                <w:rFonts w:hint="eastAsia"/>
              </w:rPr>
              <w:t>案例介绍</w:t>
            </w:r>
          </w:p>
          <w:p>
            <w:pPr>
              <w:spacing w:line="320" w:lineRule="exact"/>
              <w:rPr>
                <w:b/>
                <w:color w:val="FF0000"/>
              </w:rPr>
            </w:pPr>
            <w:r>
              <w:rPr>
                <w:rFonts w:hint="eastAsia"/>
                <w:b/>
                <w:color w:val="FF0000"/>
              </w:rPr>
              <w:t>◆上海国际金融中心</w:t>
            </w:r>
          </w:p>
          <w:p>
            <w:pPr>
              <w:spacing w:line="320" w:lineRule="exact"/>
            </w:pPr>
            <w:r>
              <w:rPr>
                <w:rFonts w:hint="eastAsia"/>
                <w:b/>
                <w:color w:val="FF0000"/>
              </w:rPr>
              <w:t>◆K11</w:t>
            </w:r>
          </w:p>
        </w:tc>
      </w:tr>
    </w:tbl>
    <w:p>
      <w:r>
        <w:rPr>
          <w:rFonts w:hint="eastAsia"/>
          <w:color w:val="FF0000"/>
          <w:szCs w:val="21"/>
        </w:rPr>
        <w:drawing>
          <wp:anchor distT="0" distB="0" distL="114300" distR="114300" simplePos="0" relativeHeight="251674624" behindDoc="0" locked="0" layoutInCell="1" allowOverlap="1">
            <wp:simplePos x="0" y="0"/>
            <wp:positionH relativeFrom="column">
              <wp:posOffset>-31750</wp:posOffset>
            </wp:positionH>
            <wp:positionV relativeFrom="paragraph">
              <wp:posOffset>-105410</wp:posOffset>
            </wp:positionV>
            <wp:extent cx="2114550" cy="79121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4550" cy="791055"/>
                    </a:xfrm>
                    <a:prstGeom prst="rect">
                      <a:avLst/>
                    </a:prstGeom>
                  </pic:spPr>
                </pic:pic>
              </a:graphicData>
            </a:graphic>
          </wp:anchor>
        </w:drawing>
      </w:r>
    </w:p>
    <w:p/>
    <w:p/>
    <w:p>
      <w:pPr>
        <w:spacing w:line="320" w:lineRule="exact"/>
        <w:rPr>
          <w:rFonts w:ascii="黑体" w:hAnsi="黑体" w:eastAsia="黑体" w:cs="宋体"/>
          <w:b/>
          <w:color w:val="C94009"/>
          <w:kern w:val="0"/>
          <w:sz w:val="28"/>
          <w:szCs w:val="28"/>
        </w:rPr>
      </w:pPr>
    </w:p>
    <w:p>
      <w:pPr>
        <w:spacing w:beforeLines="50" w:afterLines="50" w:line="320" w:lineRule="exact"/>
        <w:rPr>
          <w:rFonts w:ascii="黑体" w:hAnsi="黑体" w:eastAsia="黑体" w:cs="宋体"/>
          <w:b/>
          <w:color w:val="4F6228" w:themeColor="accent3" w:themeShade="80"/>
          <w:kern w:val="0"/>
          <w:sz w:val="36"/>
          <w:szCs w:val="36"/>
        </w:rPr>
      </w:pPr>
      <w:r>
        <w:rPr>
          <w:rFonts w:hint="eastAsia" w:ascii="黑体" w:hAnsi="黑体" w:eastAsia="黑体" w:cs="宋体"/>
          <w:b/>
          <w:color w:val="4F6228" w:themeColor="accent3" w:themeShade="80"/>
          <w:kern w:val="0"/>
          <w:sz w:val="36"/>
          <w:szCs w:val="36"/>
        </w:rPr>
        <w:t>北京站</w:t>
      </w:r>
    </w:p>
    <w:p>
      <w:pPr>
        <w:spacing w:line="320" w:lineRule="exact"/>
        <w:rPr>
          <w:rFonts w:asciiTheme="majorEastAsia" w:hAnsiTheme="majorEastAsia" w:eastAsiaTheme="majorEastAsia"/>
          <w:b/>
          <w:color w:val="4F6228" w:themeColor="accent3" w:themeShade="80"/>
          <w:sz w:val="30"/>
          <w:szCs w:val="30"/>
        </w:rPr>
      </w:pPr>
      <w:r>
        <w:rPr>
          <w:rFonts w:hint="eastAsia" w:ascii="黑体" w:hAnsi="黑体" w:eastAsia="黑体" w:cs="宋体"/>
          <w:b/>
          <w:color w:val="4F6228" w:themeColor="accent3" w:themeShade="80"/>
          <w:kern w:val="0"/>
          <w:sz w:val="28"/>
          <w:szCs w:val="28"/>
        </w:rPr>
        <w:t>爱琴海购物中心</w:t>
      </w:r>
    </w:p>
    <w:p>
      <w:pPr>
        <w:rPr>
          <w:kern w:val="0"/>
        </w:rPr>
      </w:pPr>
      <w:r>
        <w:rPr>
          <w:kern w:val="0"/>
        </w:rPr>
        <w:t>2013年10月26日开业，</w:t>
      </w:r>
      <w:r>
        <w:rPr>
          <w:rFonts w:hint="eastAsia"/>
          <w:kern w:val="0"/>
        </w:rPr>
        <w:t>红星商业打造的</w:t>
      </w:r>
      <w:r>
        <w:rPr>
          <w:kern w:val="0"/>
        </w:rPr>
        <w:t>北京最新最时尚的一线购物中心之一。</w:t>
      </w:r>
    </w:p>
    <w:p>
      <w:pPr>
        <w:spacing w:line="320" w:lineRule="exact"/>
        <w:rPr>
          <w:kern w:val="0"/>
        </w:rPr>
      </w:pPr>
      <w:r>
        <w:rPr>
          <w:rFonts w:hint="eastAsia"/>
          <w:kern w:val="0"/>
        </w:rPr>
        <w:t>餐饮及主力店业态规划非常精彩；</w:t>
      </w:r>
      <w:r>
        <w:rPr>
          <w:kern w:val="0"/>
        </w:rPr>
        <w:t>汇聚了以无印良品、TOMMY HILFIGER、Hazzys、Lee、Levi's、Pororo儿童乐园、外婆家、雕爷牛腩、西贝莜面村、单向街书店、土耳其巴扎公园主题体验馆等159家商户入驻，其中永辉Bravo精品超市、红星太平洋电影城、云尚部落高尔夫运动汇、温莎KTV、UNIQLO、C&amp;A作为项目主力店广受顾客追捧。</w:t>
      </w:r>
    </w:p>
    <w:p>
      <w:pPr>
        <w:spacing w:line="320" w:lineRule="exact"/>
        <w:rPr>
          <w:color w:val="4F6228" w:themeColor="accent3" w:themeShade="80"/>
          <w:kern w:val="0"/>
        </w:rPr>
      </w:pPr>
    </w:p>
    <w:p>
      <w:pPr>
        <w:spacing w:line="320" w:lineRule="exact"/>
        <w:rPr>
          <w:rFonts w:ascii="黑体" w:hAnsi="黑体" w:eastAsia="黑体" w:cs="宋体"/>
          <w:b/>
          <w:color w:val="4F6228" w:themeColor="accent3" w:themeShade="80"/>
          <w:kern w:val="0"/>
          <w:sz w:val="28"/>
          <w:szCs w:val="28"/>
        </w:rPr>
      </w:pPr>
      <w:r>
        <w:rPr>
          <w:rFonts w:hint="eastAsia" w:ascii="黑体" w:hAnsi="黑体" w:eastAsia="黑体" w:cs="宋体"/>
          <w:b/>
          <w:color w:val="4F6228" w:themeColor="accent3" w:themeShade="80"/>
          <w:kern w:val="0"/>
          <w:sz w:val="28"/>
          <w:szCs w:val="28"/>
        </w:rPr>
        <w:t>鸿坤广场</w:t>
      </w:r>
    </w:p>
    <w:p>
      <w:pPr>
        <w:rPr>
          <w:rFonts w:ascii="Arial" w:hAnsi="Arial" w:cs="Arial"/>
          <w:color w:val="333333"/>
          <w:szCs w:val="21"/>
          <w:shd w:val="clear" w:color="auto" w:fill="FFFFFF"/>
        </w:rPr>
      </w:pPr>
      <w:r>
        <w:rPr>
          <w:rFonts w:hint="eastAsia"/>
          <w:shd w:val="clear" w:color="auto" w:fill="FFFFFF"/>
        </w:rPr>
        <w:t>总造价约30亿元，总建筑面积约14万平方米，2014年底开业，涵盖生活、时尚、儿童、美食、娱乐等功能，是新兴社区型购物中心的典范；</w:t>
      </w:r>
      <w:r>
        <w:rPr>
          <w:rFonts w:hint="eastAsia" w:ascii="Arial" w:hAnsi="Arial" w:cs="Arial"/>
          <w:color w:val="333333"/>
          <w:szCs w:val="21"/>
          <w:shd w:val="clear" w:color="auto" w:fill="FFFFFF"/>
        </w:rPr>
        <w:t>涵盖了拾光书屋、占座等一系列新兴业态，是创新经营的典范。</w:t>
      </w:r>
    </w:p>
    <w:p>
      <w:r>
        <w:rPr>
          <w:rFonts w:hint="eastAsia"/>
          <w:kern w:val="0"/>
        </w:rPr>
        <w:drawing>
          <wp:anchor distT="0" distB="0" distL="114300" distR="114300" simplePos="0" relativeHeight="251660288" behindDoc="0" locked="0" layoutInCell="1" allowOverlap="1">
            <wp:simplePos x="0" y="0"/>
            <wp:positionH relativeFrom="column">
              <wp:posOffset>-90805</wp:posOffset>
            </wp:positionH>
            <wp:positionV relativeFrom="paragraph">
              <wp:posOffset>60325</wp:posOffset>
            </wp:positionV>
            <wp:extent cx="5977255" cy="1657350"/>
            <wp:effectExtent l="0" t="0" r="4445" b="63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77398" cy="1657349"/>
                    </a:xfrm>
                    <a:prstGeom prst="rect">
                      <a:avLst/>
                    </a:prstGeom>
                    <a:ln>
                      <a:noFill/>
                    </a:ln>
                  </pic:spPr>
                </pic:pic>
              </a:graphicData>
            </a:graphic>
          </wp:anchor>
        </w:drawing>
      </w:r>
    </w:p>
    <w:p/>
    <w:p/>
    <w:p/>
    <w:p/>
    <w:p/>
    <w:p/>
    <w:p/>
    <w:p>
      <w:pPr>
        <w:widowControl/>
        <w:shd w:val="clear" w:color="auto" w:fill="FFFFFF"/>
        <w:spacing w:line="320" w:lineRule="exact"/>
        <w:jc w:val="left"/>
        <w:rPr>
          <w:rFonts w:ascii="Arial" w:hAnsi="Arial" w:eastAsia="宋体" w:cs="Arial"/>
          <w:kern w:val="0"/>
          <w:szCs w:val="21"/>
        </w:rPr>
      </w:pPr>
    </w:p>
    <w:p>
      <w:pPr>
        <w:spacing w:beforeLines="50" w:afterLines="50" w:line="360" w:lineRule="exact"/>
        <w:rPr>
          <w:rFonts w:ascii="黑体" w:hAnsi="黑体" w:eastAsia="黑体" w:cs="宋体"/>
          <w:b/>
          <w:color w:val="4F6228" w:themeColor="accent3" w:themeShade="80"/>
          <w:kern w:val="0"/>
          <w:sz w:val="36"/>
          <w:szCs w:val="36"/>
        </w:rPr>
      </w:pPr>
      <w:r>
        <w:rPr>
          <w:rFonts w:hint="eastAsia" w:ascii="黑体" w:hAnsi="黑体" w:eastAsia="黑体" w:cs="宋体"/>
          <w:b/>
          <w:color w:val="4F6228" w:themeColor="accent3" w:themeShade="80"/>
          <w:kern w:val="0"/>
          <w:sz w:val="36"/>
          <w:szCs w:val="36"/>
        </w:rPr>
        <w:t>深圳站</w:t>
      </w:r>
    </w:p>
    <w:p>
      <w:pPr>
        <w:spacing w:line="360" w:lineRule="exact"/>
        <w:rPr>
          <w:rFonts w:ascii="黑体" w:hAnsi="黑体" w:eastAsia="黑体"/>
          <w:b/>
          <w:color w:val="4F6228" w:themeColor="accent3" w:themeShade="80"/>
          <w:sz w:val="36"/>
          <w:szCs w:val="36"/>
        </w:rPr>
      </w:pPr>
      <w:r>
        <w:rPr>
          <w:rFonts w:ascii="黑体" w:hAnsi="黑体" w:eastAsia="黑体" w:cs="宋体"/>
          <w:b/>
          <w:color w:val="4F6228" w:themeColor="accent3" w:themeShade="80"/>
          <w:kern w:val="0"/>
          <w:sz w:val="28"/>
          <w:szCs w:val="28"/>
        </w:rPr>
        <w:t>皇庭广场</w:t>
      </w:r>
    </w:p>
    <w:p>
      <w:r>
        <w:rPr>
          <w:rFonts w:hint="eastAsia" w:ascii="Verdana" w:hAnsi="Verdana" w:eastAsia="宋体" w:cs="宋体"/>
          <w:color w:val="000000"/>
          <w:kern w:val="0"/>
          <w:szCs w:val="21"/>
        </w:rPr>
        <w:t>皇庭广场，建筑面积</w:t>
      </w:r>
      <w:r>
        <w:rPr>
          <w:rFonts w:ascii="Verdana" w:hAnsi="Verdana" w:eastAsia="宋体" w:cs="宋体"/>
          <w:color w:val="000000"/>
          <w:kern w:val="0"/>
          <w:szCs w:val="21"/>
        </w:rPr>
        <w:t>10.8</w:t>
      </w:r>
      <w:r>
        <w:rPr>
          <w:rFonts w:hint="eastAsia" w:ascii="Verdana" w:hAnsi="Verdana" w:eastAsia="宋体" w:cs="宋体"/>
          <w:color w:val="000000"/>
          <w:kern w:val="0"/>
          <w:szCs w:val="21"/>
        </w:rPr>
        <w:t>万平米，深圳</w:t>
      </w:r>
      <w:r>
        <w:rPr>
          <w:rFonts w:ascii="Verdana" w:hAnsi="Verdana" w:eastAsia="宋体" w:cs="宋体"/>
          <w:color w:val="000000"/>
          <w:kern w:val="0"/>
          <w:szCs w:val="21"/>
        </w:rPr>
        <w:t>CBD</w:t>
      </w:r>
      <w:r>
        <w:rPr>
          <w:rFonts w:hint="eastAsia" w:ascii="Verdana" w:hAnsi="Verdana" w:eastAsia="宋体" w:cs="宋体"/>
          <w:color w:val="000000"/>
          <w:kern w:val="0"/>
          <w:szCs w:val="21"/>
        </w:rPr>
        <w:t>的钻石中心，拥有奢侈品百货</w:t>
      </w:r>
      <w:r>
        <w:rPr>
          <w:rFonts w:ascii="Verdana" w:hAnsi="Verdana" w:eastAsia="宋体" w:cs="宋体"/>
          <w:color w:val="000000"/>
          <w:kern w:val="0"/>
          <w:szCs w:val="21"/>
        </w:rPr>
        <w:t>COSCIA</w:t>
      </w:r>
      <w:r>
        <w:rPr>
          <w:rFonts w:hint="eastAsia" w:ascii="Verdana" w:hAnsi="Verdana" w:eastAsia="宋体" w:cs="宋体"/>
          <w:color w:val="000000"/>
          <w:kern w:val="0"/>
          <w:szCs w:val="21"/>
        </w:rPr>
        <w:t>及多个国际一线商业品牌，深圳新兴标杆商业项目。原隶属深国商核心资产，</w:t>
      </w:r>
      <w:r>
        <w:rPr>
          <w:rFonts w:ascii="Verdana" w:hAnsi="Verdana" w:eastAsia="宋体" w:cs="宋体"/>
          <w:color w:val="000000"/>
          <w:kern w:val="0"/>
          <w:szCs w:val="21"/>
        </w:rPr>
        <w:t>2002</w:t>
      </w:r>
      <w:r>
        <w:rPr>
          <w:rFonts w:hint="eastAsia" w:ascii="Verdana" w:hAnsi="Verdana" w:eastAsia="宋体" w:cs="宋体"/>
          <w:color w:val="000000"/>
          <w:kern w:val="0"/>
          <w:szCs w:val="21"/>
        </w:rPr>
        <w:t>年至</w:t>
      </w:r>
      <w:r>
        <w:rPr>
          <w:rFonts w:ascii="Verdana" w:hAnsi="Verdana" w:eastAsia="宋体" w:cs="宋体"/>
          <w:color w:val="000000"/>
          <w:kern w:val="0"/>
          <w:szCs w:val="21"/>
        </w:rPr>
        <w:t>2011</w:t>
      </w:r>
      <w:r>
        <w:rPr>
          <w:rFonts w:hint="eastAsia" w:ascii="Verdana" w:hAnsi="Verdana" w:eastAsia="宋体" w:cs="宋体"/>
          <w:color w:val="000000"/>
          <w:kern w:val="0"/>
          <w:szCs w:val="21"/>
        </w:rPr>
        <w:t>年长达</w:t>
      </w:r>
      <w:r>
        <w:rPr>
          <w:rFonts w:ascii="Verdana" w:hAnsi="Verdana" w:eastAsia="宋体" w:cs="宋体"/>
          <w:color w:val="000000"/>
          <w:kern w:val="0"/>
          <w:szCs w:val="21"/>
        </w:rPr>
        <w:t>10</w:t>
      </w:r>
      <w:r>
        <w:rPr>
          <w:rFonts w:hint="eastAsia" w:ascii="Verdana" w:hAnsi="Verdana" w:eastAsia="宋体" w:cs="宋体"/>
          <w:color w:val="000000"/>
          <w:kern w:val="0"/>
          <w:szCs w:val="21"/>
        </w:rPr>
        <w:t>年烂</w:t>
      </w:r>
    </w:p>
    <w:p>
      <w:r>
        <w:rPr>
          <w:rFonts w:hint="eastAsia"/>
        </w:rPr>
        <w:t>尾。2013年底勉强试开业，直至2014年底开业率不到50%。2015年-2016年经过深度调整经营，目前开业率已达95%，日均客流量五万多，预估2016年营业额进入深圳购物中心前五名。</w:t>
      </w:r>
    </w:p>
    <w:p>
      <w:pPr>
        <w:rPr>
          <w:color w:val="4F6228" w:themeColor="accent3" w:themeShade="80"/>
        </w:rPr>
      </w:pPr>
    </w:p>
    <w:p>
      <w:pPr>
        <w:widowControl/>
        <w:shd w:val="clear" w:color="auto" w:fill="FFFFFF"/>
        <w:spacing w:line="280" w:lineRule="exact"/>
        <w:jc w:val="left"/>
        <w:rPr>
          <w:rFonts w:ascii="黑体" w:hAnsi="黑体" w:eastAsia="黑体" w:cs="宋体"/>
          <w:b/>
          <w:color w:val="4F6228" w:themeColor="accent3" w:themeShade="80"/>
          <w:kern w:val="0"/>
          <w:sz w:val="28"/>
          <w:szCs w:val="28"/>
        </w:rPr>
      </w:pPr>
      <w:r>
        <w:rPr>
          <w:rFonts w:hint="eastAsia" w:ascii="黑体" w:hAnsi="黑体" w:eastAsia="黑体" w:cs="宋体"/>
          <w:b/>
          <w:color w:val="4F6228" w:themeColor="accent3" w:themeShade="80"/>
          <w:kern w:val="0"/>
          <w:sz w:val="28"/>
          <w:szCs w:val="28"/>
        </w:rPr>
        <w:t>深国投广场</w:t>
      </w:r>
    </w:p>
    <w:p>
      <w:pPr>
        <w:widowControl/>
        <w:shd w:val="clear" w:color="auto" w:fill="FFFFFF"/>
        <w:spacing w:line="280" w:lineRule="exact"/>
        <w:jc w:val="left"/>
        <w:rPr>
          <w:rFonts w:ascii="Verdana" w:hAnsi="Verdana" w:eastAsia="宋体" w:cs="宋体"/>
          <w:color w:val="000000" w:themeColor="text1"/>
          <w:kern w:val="0"/>
          <w:szCs w:val="21"/>
        </w:rPr>
      </w:pPr>
      <w:r>
        <w:rPr>
          <w:rFonts w:hint="eastAsia" w:ascii="Arial" w:hAnsi="Arial" w:cs="Arial"/>
          <w:color w:val="000000" w:themeColor="text1"/>
          <w:szCs w:val="21"/>
          <w:shd w:val="clear" w:color="auto" w:fill="FFFFFF"/>
        </w:rPr>
        <w:t>深</w:t>
      </w:r>
      <w:r>
        <w:rPr>
          <w:rFonts w:ascii="Arial" w:hAnsi="Arial" w:cs="Arial"/>
          <w:color w:val="000000" w:themeColor="text1"/>
          <w:szCs w:val="21"/>
          <w:shd w:val="clear" w:color="auto" w:fill="FFFFFF"/>
        </w:rPr>
        <w:t>圳市深国投广场地址在于福田区农林路69号，总建筑面积逾20万平方米，拥有近2000个车位的停车场，是集办公、购物、休闲于一体的大型综合商业中心，近200家中高端品牌店铺进驻，商业气息非凡且地理位置优越，拥有了得天独厚的绿色先机。</w:t>
      </w:r>
    </w:p>
    <w:p>
      <w:r>
        <w:drawing>
          <wp:anchor distT="0" distB="0" distL="114300" distR="114300" simplePos="0" relativeHeight="251661312" behindDoc="0" locked="0" layoutInCell="1" allowOverlap="1">
            <wp:simplePos x="0" y="0"/>
            <wp:positionH relativeFrom="column">
              <wp:posOffset>-71755</wp:posOffset>
            </wp:positionH>
            <wp:positionV relativeFrom="paragraph">
              <wp:posOffset>37465</wp:posOffset>
            </wp:positionV>
            <wp:extent cx="5909310" cy="2009775"/>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09310" cy="2009592"/>
                    </a:xfrm>
                    <a:prstGeom prst="rect">
                      <a:avLst/>
                    </a:prstGeom>
                  </pic:spPr>
                </pic:pic>
              </a:graphicData>
            </a:graphic>
          </wp:anchor>
        </w:drawing>
      </w:r>
    </w:p>
    <w:p/>
    <w:p/>
    <w:p/>
    <w:p/>
    <w:p>
      <w:pPr>
        <w:widowControl/>
        <w:shd w:val="clear" w:color="auto" w:fill="FFFFFF"/>
        <w:spacing w:line="280" w:lineRule="exact"/>
        <w:jc w:val="left"/>
        <w:rPr>
          <w:rFonts w:ascii="黑体" w:hAnsi="黑体" w:eastAsia="黑体" w:cs="宋体"/>
          <w:b/>
          <w:color w:val="E36C09" w:themeColor="accent6" w:themeShade="BF"/>
          <w:kern w:val="0"/>
          <w:sz w:val="28"/>
          <w:szCs w:val="28"/>
        </w:rPr>
      </w:pPr>
    </w:p>
    <w:p>
      <w:pPr>
        <w:widowControl/>
        <w:shd w:val="clear" w:color="auto" w:fill="FFFFFF"/>
        <w:spacing w:line="280" w:lineRule="exact"/>
        <w:jc w:val="left"/>
        <w:rPr>
          <w:rFonts w:ascii="黑体" w:hAnsi="黑体" w:eastAsia="黑体" w:cs="宋体"/>
          <w:b/>
          <w:color w:val="E36C09" w:themeColor="accent6" w:themeShade="BF"/>
          <w:kern w:val="0"/>
          <w:sz w:val="28"/>
          <w:szCs w:val="28"/>
        </w:rPr>
      </w:pPr>
    </w:p>
    <w:p>
      <w:pPr>
        <w:widowControl/>
        <w:shd w:val="clear" w:color="auto" w:fill="FFFFFF"/>
        <w:spacing w:line="280" w:lineRule="exact"/>
        <w:jc w:val="left"/>
        <w:rPr>
          <w:rFonts w:ascii="黑体" w:hAnsi="黑体" w:eastAsia="黑体" w:cs="宋体"/>
          <w:b/>
          <w:color w:val="E36C09" w:themeColor="accent6" w:themeShade="BF"/>
          <w:kern w:val="0"/>
          <w:sz w:val="28"/>
          <w:szCs w:val="28"/>
        </w:rPr>
      </w:pPr>
    </w:p>
    <w:p>
      <w:pPr>
        <w:widowControl/>
        <w:shd w:val="clear" w:color="auto" w:fill="FFFFFF"/>
        <w:spacing w:line="280" w:lineRule="exact"/>
        <w:jc w:val="left"/>
        <w:rPr>
          <w:rFonts w:ascii="黑体" w:hAnsi="黑体" w:eastAsia="黑体" w:cs="宋体"/>
          <w:b/>
          <w:color w:val="E36C09" w:themeColor="accent6" w:themeShade="BF"/>
          <w:kern w:val="0"/>
          <w:sz w:val="28"/>
          <w:szCs w:val="28"/>
        </w:rPr>
      </w:pPr>
    </w:p>
    <w:p>
      <w:pPr>
        <w:widowControl/>
        <w:shd w:val="clear" w:color="auto" w:fill="FFFFFF"/>
        <w:spacing w:line="280" w:lineRule="exact"/>
        <w:jc w:val="left"/>
        <w:rPr>
          <w:rFonts w:ascii="黑体" w:hAnsi="黑体" w:eastAsia="黑体" w:cs="宋体"/>
          <w:b/>
          <w:color w:val="E36C09" w:themeColor="accent6" w:themeShade="BF"/>
          <w:kern w:val="0"/>
          <w:sz w:val="28"/>
          <w:szCs w:val="28"/>
        </w:rPr>
      </w:pPr>
    </w:p>
    <w:p>
      <w:pPr>
        <w:spacing w:line="400" w:lineRule="exact"/>
        <w:rPr>
          <w:rFonts w:ascii="黑体" w:hAnsi="黑体" w:eastAsia="黑体"/>
          <w:b/>
          <w:sz w:val="36"/>
          <w:szCs w:val="36"/>
        </w:rPr>
      </w:pPr>
    </w:p>
    <w:p>
      <w:pPr>
        <w:spacing w:afterLines="50" w:line="400" w:lineRule="exact"/>
        <w:rPr>
          <w:rFonts w:ascii="黑体" w:hAnsi="黑体" w:eastAsia="黑体"/>
          <w:b/>
          <w:color w:val="4F6228" w:themeColor="accent3" w:themeShade="80"/>
          <w:sz w:val="36"/>
          <w:szCs w:val="36"/>
        </w:rPr>
      </w:pPr>
      <w:r>
        <w:rPr>
          <w:rFonts w:hint="eastAsia" w:ascii="黑体" w:hAnsi="黑体" w:eastAsia="黑体"/>
          <w:b/>
          <w:color w:val="4F6228" w:themeColor="accent3" w:themeShade="80"/>
          <w:sz w:val="36"/>
          <w:szCs w:val="36"/>
        </w:rPr>
        <w:t>上海站</w:t>
      </w:r>
    </w:p>
    <w:p>
      <w:pPr>
        <w:spacing w:line="400" w:lineRule="exact"/>
        <w:rPr>
          <w:rFonts w:ascii="黑体" w:hAnsi="黑体" w:eastAsia="黑体"/>
          <w:b/>
          <w:color w:val="4F6228" w:themeColor="accent3" w:themeShade="80"/>
          <w:sz w:val="28"/>
          <w:szCs w:val="28"/>
        </w:rPr>
      </w:pPr>
      <w:r>
        <w:rPr>
          <w:rFonts w:hint="eastAsia" w:ascii="黑体" w:hAnsi="黑体" w:eastAsia="黑体"/>
          <w:b/>
          <w:color w:val="4F6228" w:themeColor="accent3" w:themeShade="80"/>
          <w:sz w:val="28"/>
          <w:szCs w:val="28"/>
        </w:rPr>
        <w:t>上海国际金融中心</w:t>
      </w:r>
    </w:p>
    <w:p>
      <w:pPr>
        <w:spacing w:line="280" w:lineRule="exact"/>
        <w:rPr>
          <w:rFonts w:ascii="Arial" w:hAnsi="Arial" w:eastAsia="宋体" w:cs="Arial"/>
          <w:color w:val="000000" w:themeColor="text1"/>
          <w:kern w:val="0"/>
          <w:szCs w:val="21"/>
        </w:rPr>
      </w:pPr>
      <w:r>
        <w:rPr>
          <w:rFonts w:ascii="Arial" w:hAnsi="Arial" w:cs="Arial"/>
          <w:color w:val="000000" w:themeColor="text1"/>
          <w:szCs w:val="21"/>
          <w:shd w:val="clear" w:color="auto" w:fill="FFFFFF"/>
        </w:rPr>
        <w:t>上海国际金融中心，总投资额80亿港元，项目将位于上海浦东</w:t>
      </w:r>
      <w:r>
        <w:fldChar w:fldCharType="begin"/>
      </w:r>
      <w:r>
        <w:instrText xml:space="preserve"> HYPERLINK "http://baike.baidu.com/view/60496.htm" \t "_blank" </w:instrText>
      </w:r>
      <w:r>
        <w:fldChar w:fldCharType="separate"/>
      </w:r>
      <w:r>
        <w:rPr>
          <w:rStyle w:val="8"/>
          <w:rFonts w:ascii="Arial" w:hAnsi="Arial" w:cs="Arial"/>
          <w:color w:val="000000" w:themeColor="text1"/>
          <w:szCs w:val="21"/>
          <w:shd w:val="clear" w:color="auto" w:fill="FFFFFF"/>
        </w:rPr>
        <w:t>陆家嘴</w:t>
      </w:r>
      <w:r>
        <w:rPr>
          <w:rStyle w:val="8"/>
          <w:rFonts w:ascii="Arial" w:hAnsi="Arial" w:cs="Arial"/>
          <w:color w:val="000000" w:themeColor="text1"/>
          <w:szCs w:val="21"/>
          <w:shd w:val="clear" w:color="auto" w:fill="FFFFFF"/>
        </w:rPr>
        <w:fldChar w:fldCharType="end"/>
      </w:r>
      <w:r>
        <w:rPr>
          <w:rFonts w:ascii="Arial" w:hAnsi="Arial" w:cs="Arial"/>
          <w:color w:val="000000" w:themeColor="text1"/>
          <w:szCs w:val="21"/>
          <w:shd w:val="clear" w:color="auto" w:fill="FFFFFF"/>
        </w:rPr>
        <w:t>，是包括</w:t>
      </w:r>
      <w:r>
        <w:fldChar w:fldCharType="begin"/>
      </w:r>
      <w:r>
        <w:instrText xml:space="preserve"> HYPERLINK "http://baike.baidu.com/view/6264.htm" \t "_blank" </w:instrText>
      </w:r>
      <w:r>
        <w:fldChar w:fldCharType="separate"/>
      </w:r>
      <w:r>
        <w:rPr>
          <w:rStyle w:val="8"/>
          <w:rFonts w:ascii="Arial" w:hAnsi="Arial" w:cs="Arial"/>
          <w:color w:val="000000" w:themeColor="text1"/>
          <w:szCs w:val="21"/>
          <w:shd w:val="clear" w:color="auto" w:fill="FFFFFF"/>
        </w:rPr>
        <w:t>甲级写字楼</w:t>
      </w:r>
      <w:r>
        <w:rPr>
          <w:rStyle w:val="8"/>
          <w:rFonts w:ascii="Arial" w:hAnsi="Arial" w:cs="Arial"/>
          <w:color w:val="000000" w:themeColor="text1"/>
          <w:szCs w:val="21"/>
          <w:shd w:val="clear" w:color="auto" w:fill="FFFFFF"/>
        </w:rPr>
        <w:fldChar w:fldCharType="end"/>
      </w:r>
      <w:r>
        <w:rPr>
          <w:rFonts w:ascii="Arial" w:hAnsi="Arial" w:cs="Arial"/>
          <w:color w:val="000000" w:themeColor="text1"/>
          <w:szCs w:val="21"/>
          <w:shd w:val="clear" w:color="auto" w:fill="FFFFFF"/>
        </w:rPr>
        <w:t>、酒店、公寓及商场的综合大楼。</w:t>
      </w:r>
      <w:r>
        <w:rPr>
          <w:rFonts w:ascii="Arial" w:hAnsi="Arial" w:eastAsia="宋体" w:cs="Arial"/>
          <w:color w:val="000000" w:themeColor="text1"/>
          <w:kern w:val="0"/>
          <w:szCs w:val="21"/>
        </w:rPr>
        <w:t>上海国金中心由新鸿基地产集团投资开发，位于浦东陆家嘴金融贸易区世纪大道北首。项目由两幢办公大楼和国金中心商场组成。商场以国际一线奢侈品牌组成，尽显奢华。项目一期由上海浦东丽思卡尔顿酒店、汇丰银行中国总部及甲级写字楼三部份构成。大楼办公设施现代，配以专业的物业管理团队，租赁单元一进入市场便被国际化公司青睐。</w:t>
      </w:r>
    </w:p>
    <w:p>
      <w:pPr>
        <w:spacing w:line="280" w:lineRule="exact"/>
        <w:rPr>
          <w:rFonts w:ascii="Arial" w:hAnsi="Arial" w:eastAsia="宋体" w:cs="Arial"/>
          <w:color w:val="000000" w:themeColor="text1"/>
          <w:kern w:val="0"/>
          <w:szCs w:val="21"/>
        </w:rPr>
      </w:pPr>
    </w:p>
    <w:p>
      <w:pPr>
        <w:spacing w:line="280" w:lineRule="exact"/>
        <w:rPr>
          <w:rFonts w:ascii="黑体" w:hAnsi="黑体" w:eastAsia="黑体"/>
          <w:b/>
          <w:color w:val="4F6228" w:themeColor="accent3" w:themeShade="80"/>
          <w:sz w:val="28"/>
          <w:szCs w:val="28"/>
        </w:rPr>
      </w:pPr>
      <w:r>
        <w:rPr>
          <w:rFonts w:hint="eastAsia" w:ascii="黑体" w:hAnsi="黑体" w:eastAsia="黑体"/>
          <w:b/>
          <w:color w:val="4F6228" w:themeColor="accent3" w:themeShade="80"/>
          <w:sz w:val="28"/>
          <w:szCs w:val="28"/>
        </w:rPr>
        <w:t>上海K11</w:t>
      </w:r>
    </w:p>
    <w:p>
      <w:pPr>
        <w:spacing w:line="280" w:lineRule="exact"/>
        <w:rPr>
          <w:rFonts w:ascii="Arial" w:hAnsi="Arial" w:cs="Arial"/>
          <w:color w:val="000000" w:themeColor="text1"/>
          <w:szCs w:val="21"/>
          <w:shd w:val="clear" w:color="auto" w:fill="FFFFFF"/>
        </w:rPr>
      </w:pPr>
      <w:r>
        <w:rPr>
          <w:rFonts w:ascii="Arial" w:hAnsi="Arial" w:cs="Arial"/>
          <w:color w:val="000000" w:themeColor="text1"/>
          <w:szCs w:val="21"/>
          <w:shd w:val="clear" w:color="auto" w:fill="FFFFFF"/>
        </w:rPr>
        <w:t>K11是全球首个品牌率先把</w:t>
      </w:r>
      <w:r>
        <w:fldChar w:fldCharType="begin"/>
      </w:r>
      <w:r>
        <w:instrText xml:space="preserve"> HYPERLINK "http://baike.baidu.com/subview/576/11247831.htm" \t "_blank" </w:instrText>
      </w:r>
      <w:r>
        <w:fldChar w:fldCharType="separate"/>
      </w:r>
      <w:r>
        <w:rPr>
          <w:rStyle w:val="8"/>
          <w:rFonts w:ascii="Arial" w:hAnsi="Arial" w:cs="Arial"/>
          <w:color w:val="000000" w:themeColor="text1"/>
          <w:szCs w:val="21"/>
          <w:shd w:val="clear" w:color="auto" w:fill="FFFFFF"/>
        </w:rPr>
        <w:t>艺术</w:t>
      </w:r>
      <w:r>
        <w:rPr>
          <w:rStyle w:val="8"/>
          <w:rFonts w:ascii="Arial" w:hAnsi="Arial" w:cs="Arial"/>
          <w:color w:val="000000" w:themeColor="text1"/>
          <w:szCs w:val="21"/>
          <w:shd w:val="clear" w:color="auto" w:fill="FFFFFF"/>
        </w:rPr>
        <w:fldChar w:fldCharType="end"/>
      </w:r>
      <w:r>
        <w:rPr>
          <w:rFonts w:ascii="Arial" w:hAnsi="Arial" w:cs="Arial"/>
          <w:color w:val="000000" w:themeColor="text1"/>
          <w:szCs w:val="21"/>
          <w:shd w:val="clear" w:color="auto" w:fill="FFFFFF"/>
        </w:rPr>
        <w:t>·</w:t>
      </w:r>
      <w:r>
        <w:fldChar w:fldCharType="begin"/>
      </w:r>
      <w:r>
        <w:instrText xml:space="preserve"> HYPERLINK "http://baike.baidu.com/view/649.htm" \t "_blank" </w:instrText>
      </w:r>
      <w:r>
        <w:fldChar w:fldCharType="separate"/>
      </w:r>
      <w:r>
        <w:rPr>
          <w:rStyle w:val="8"/>
          <w:rFonts w:ascii="Arial" w:hAnsi="Arial" w:cs="Arial"/>
          <w:color w:val="000000" w:themeColor="text1"/>
          <w:szCs w:val="21"/>
          <w:shd w:val="clear" w:color="auto" w:fill="FFFFFF"/>
        </w:rPr>
        <w:t>人文</w:t>
      </w:r>
      <w:r>
        <w:rPr>
          <w:rStyle w:val="8"/>
          <w:rFonts w:ascii="Arial" w:hAnsi="Arial" w:cs="Arial"/>
          <w:color w:val="000000" w:themeColor="text1"/>
          <w:szCs w:val="21"/>
          <w:shd w:val="clear" w:color="auto" w:fill="FFFFFF"/>
        </w:rPr>
        <w:fldChar w:fldCharType="end"/>
      </w:r>
      <w:r>
        <w:rPr>
          <w:rFonts w:ascii="Arial" w:hAnsi="Arial" w:cs="Arial"/>
          <w:color w:val="000000" w:themeColor="text1"/>
          <w:szCs w:val="21"/>
          <w:shd w:val="clear" w:color="auto" w:fill="FFFFFF"/>
        </w:rPr>
        <w:t>·</w:t>
      </w:r>
      <w:r>
        <w:fldChar w:fldCharType="begin"/>
      </w:r>
      <w:r>
        <w:instrText xml:space="preserve"> HYPERLINK "http://baike.baidu.com/subview/7932/5069705.htm" \t "_blank" </w:instrText>
      </w:r>
      <w:r>
        <w:fldChar w:fldCharType="separate"/>
      </w:r>
      <w:r>
        <w:rPr>
          <w:rStyle w:val="8"/>
          <w:rFonts w:ascii="Arial" w:hAnsi="Arial" w:cs="Arial"/>
          <w:color w:val="000000" w:themeColor="text1"/>
          <w:szCs w:val="21"/>
          <w:shd w:val="clear" w:color="auto" w:fill="FFFFFF"/>
        </w:rPr>
        <w:t>自然</w:t>
      </w:r>
      <w:r>
        <w:rPr>
          <w:rStyle w:val="8"/>
          <w:rFonts w:ascii="Arial" w:hAnsi="Arial" w:cs="Arial"/>
          <w:color w:val="000000" w:themeColor="text1"/>
          <w:szCs w:val="21"/>
          <w:shd w:val="clear" w:color="auto" w:fill="FFFFFF"/>
        </w:rPr>
        <w:fldChar w:fldCharType="end"/>
      </w:r>
      <w:r>
        <w:rPr>
          <w:rFonts w:ascii="Arial" w:hAnsi="Arial" w:cs="Arial"/>
          <w:color w:val="000000" w:themeColor="text1"/>
          <w:szCs w:val="21"/>
          <w:shd w:val="clear" w:color="auto" w:fill="FFFFFF"/>
        </w:rPr>
        <w:t>三大核心元素融合，将艺术欣赏、人文体验、自然环保完美结合和互动，带出无限创意、自由及个性化的生活品牌，并为大众带来前所未有的感官体验。</w:t>
      </w:r>
      <w:r>
        <w:rPr>
          <w:rFonts w:ascii="Arial" w:hAnsi="Arial" w:cs="Arial"/>
          <w:color w:val="333333"/>
          <w:szCs w:val="21"/>
          <w:shd w:val="clear" w:color="auto" w:fill="FFFFFF"/>
        </w:rPr>
        <w:t>K11</w:t>
      </w:r>
      <w:r>
        <w:rPr>
          <w:rFonts w:ascii="Arial" w:hAnsi="Arial" w:cs="Arial"/>
          <w:color w:val="000000" w:themeColor="text1"/>
          <w:szCs w:val="21"/>
          <w:shd w:val="clear" w:color="auto" w:fill="FFFFFF"/>
        </w:rPr>
        <w:t>宣示着一个全球新品牌概念的诞生，探索当代优质生活方式的可能性，重新发现艺术、人文、自然三者的关系，并以此在全球文化及生活话语中，发出东方大地的声音。</w:t>
      </w:r>
    </w:p>
    <w:p>
      <w:r>
        <w:drawing>
          <wp:anchor distT="0" distB="0" distL="114300" distR="114300" simplePos="0" relativeHeight="251662336" behindDoc="0" locked="0" layoutInCell="1" allowOverlap="1">
            <wp:simplePos x="0" y="0"/>
            <wp:positionH relativeFrom="column">
              <wp:posOffset>-100330</wp:posOffset>
            </wp:positionH>
            <wp:positionV relativeFrom="paragraph">
              <wp:posOffset>161290</wp:posOffset>
            </wp:positionV>
            <wp:extent cx="5885180" cy="1873250"/>
            <wp:effectExtent l="0" t="0" r="127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885180" cy="1873123"/>
                    </a:xfrm>
                    <a:prstGeom prst="rect">
                      <a:avLst/>
                    </a:prstGeom>
                  </pic:spPr>
                </pic:pic>
              </a:graphicData>
            </a:graphic>
          </wp:anchor>
        </w:drawing>
      </w:r>
    </w:p>
    <w:p/>
    <w:p/>
    <w:p/>
    <w:p/>
    <w:p/>
    <w:p/>
    <w:p/>
    <w:p/>
    <w:p/>
    <w:p>
      <w:pPr>
        <w:rPr>
          <w:rFonts w:ascii="黑体" w:hAnsi="黑体" w:eastAsia="黑体"/>
          <w:b/>
          <w:color w:val="4F6228" w:themeColor="accent3" w:themeShade="80"/>
          <w:sz w:val="36"/>
          <w:szCs w:val="36"/>
        </w:rPr>
      </w:pPr>
      <w:r>
        <w:rPr>
          <w:rFonts w:hint="eastAsia" w:ascii="黑体" w:hAnsi="黑体" w:eastAsia="黑体"/>
          <w:b/>
          <w:color w:val="4F6228" w:themeColor="accent3" w:themeShade="80"/>
          <w:sz w:val="36"/>
          <w:szCs w:val="36"/>
        </w:rPr>
        <w:t>产业地产</w:t>
      </w:r>
    </w:p>
    <w:p>
      <w:pPr>
        <w:spacing w:beforeLines="50" w:afterLines="50" w:line="280" w:lineRule="exact"/>
        <w:rPr>
          <w:rFonts w:ascii="黑体" w:hAnsi="黑体" w:eastAsia="黑体"/>
          <w:b/>
          <w:color w:val="4F6228" w:themeColor="accent3" w:themeShade="80"/>
          <w:sz w:val="28"/>
          <w:szCs w:val="28"/>
        </w:rPr>
      </w:pPr>
      <w:r>
        <w:rPr>
          <w:rFonts w:hint="eastAsia" w:ascii="黑体" w:hAnsi="黑体" w:eastAsia="黑体"/>
          <w:b/>
          <w:color w:val="4F6228" w:themeColor="accent3" w:themeShade="80"/>
          <w:sz w:val="28"/>
          <w:szCs w:val="28"/>
        </w:rPr>
        <w:t>长城脚下饮马川</w:t>
      </w:r>
    </w:p>
    <w:p>
      <w:r>
        <w:rPr>
          <w:rFonts w:hint="eastAsia"/>
        </w:rPr>
        <w:t>长城脚下饮马川位于北京古北水镇旁长城脚下，是京津冀协同发展的重点区域、国家战略的水源涵养地。项目是以“还大地以幸福”的理念，践行朴门永续设计精神，匠心营造的大地建筑群。国际投行IDG数百亿投资开发的古北水镇已经成功运营，区域内中青旅、华夏幸福基业、龙湖、碧桂园、恒大等一线开发商云集，在京津冀交通一体化的政策利好下，京沈高铁、京通动车等将陆续通车，未来升值潜力无限。</w:t>
      </w:r>
    </w:p>
    <w:p>
      <w:r>
        <w:drawing>
          <wp:anchor distT="0" distB="0" distL="114300" distR="114300" simplePos="0" relativeHeight="251676672" behindDoc="0" locked="0" layoutInCell="1" allowOverlap="1">
            <wp:simplePos x="0" y="0"/>
            <wp:positionH relativeFrom="column">
              <wp:posOffset>-14605</wp:posOffset>
            </wp:positionH>
            <wp:positionV relativeFrom="paragraph">
              <wp:posOffset>54610</wp:posOffset>
            </wp:positionV>
            <wp:extent cx="5854065" cy="1990725"/>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853829" cy="1990724"/>
                    </a:xfrm>
                    <a:prstGeom prst="rect">
                      <a:avLst/>
                    </a:prstGeom>
                  </pic:spPr>
                </pic:pic>
              </a:graphicData>
            </a:graphic>
          </wp:anchor>
        </w:drawing>
      </w:r>
    </w:p>
    <w:p/>
    <w:p/>
    <w:p/>
    <w:p/>
    <w:p/>
    <w:p/>
    <w:p/>
    <w:p/>
    <w:p/>
    <w:p>
      <w:pPr>
        <w:rPr>
          <w:color w:val="FF0000"/>
        </w:rPr>
      </w:pPr>
    </w:p>
    <w:p>
      <w:pPr>
        <w:rPr>
          <w:color w:val="FF0000"/>
        </w:rPr>
      </w:pPr>
    </w:p>
    <w:p>
      <w:pPr>
        <w:rPr>
          <w:color w:val="FF0000"/>
        </w:rPr>
      </w:pPr>
    </w:p>
    <w:p>
      <w:pPr>
        <w:rPr>
          <w:color w:val="FF0000"/>
        </w:rPr>
      </w:pPr>
      <w:r>
        <w:rPr>
          <w:rFonts w:hint="eastAsia"/>
          <w:color w:val="FF0000"/>
        </w:rPr>
        <w:drawing>
          <wp:anchor distT="0" distB="0" distL="114300" distR="114300" simplePos="0" relativeHeight="251682816" behindDoc="0" locked="0" layoutInCell="1" allowOverlap="1">
            <wp:simplePos x="0" y="0"/>
            <wp:positionH relativeFrom="column">
              <wp:posOffset>-395605</wp:posOffset>
            </wp:positionH>
            <wp:positionV relativeFrom="paragraph">
              <wp:posOffset>-387350</wp:posOffset>
            </wp:positionV>
            <wp:extent cx="6591300" cy="65341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91300" cy="653317"/>
                    </a:xfrm>
                    <a:prstGeom prst="rect">
                      <a:avLst/>
                    </a:prstGeom>
                  </pic:spPr>
                </pic:pic>
              </a:graphicData>
            </a:graphic>
          </wp:anchor>
        </w:drawing>
      </w:r>
    </w:p>
    <w:p>
      <w:pPr>
        <w:rPr>
          <w:color w:val="FF0000"/>
        </w:rPr>
      </w:pPr>
      <w:r>
        <w:rPr>
          <w:rFonts w:ascii="Times New Roman" w:hAnsi="Times New Roman" w:cs="Times New Roman" w:eastAsiaTheme="majorEastAsia"/>
          <w:szCs w:val="21"/>
        </w:rPr>
        <w:drawing>
          <wp:anchor distT="0" distB="0" distL="114300" distR="114300" simplePos="0" relativeHeight="251677696" behindDoc="0" locked="0" layoutInCell="1" allowOverlap="1">
            <wp:simplePos x="0" y="0"/>
            <wp:positionH relativeFrom="column">
              <wp:posOffset>-43180</wp:posOffset>
            </wp:positionH>
            <wp:positionV relativeFrom="paragraph">
              <wp:posOffset>134620</wp:posOffset>
            </wp:positionV>
            <wp:extent cx="2117725" cy="79248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7725" cy="792480"/>
                    </a:xfrm>
                    <a:prstGeom prst="rect">
                      <a:avLst/>
                    </a:prstGeom>
                  </pic:spPr>
                </pic:pic>
              </a:graphicData>
            </a:graphic>
          </wp:anchor>
        </w:drawing>
      </w:r>
    </w:p>
    <w:p>
      <w:pPr>
        <w:rPr>
          <w:color w:val="FF0000"/>
        </w:rPr>
      </w:pPr>
    </w:p>
    <w:p>
      <w:pPr>
        <w:rPr>
          <w:color w:val="FF0000"/>
        </w:rPr>
      </w:pPr>
    </w:p>
    <w:p>
      <w:pPr>
        <w:rPr>
          <w:color w:val="FF0000"/>
        </w:rPr>
      </w:pPr>
    </w:p>
    <w:p>
      <w:pPr>
        <w:rPr>
          <w:color w:val="FF0000"/>
        </w:rPr>
      </w:pPr>
    </w:p>
    <w:p>
      <w:pPr>
        <w:pStyle w:val="14"/>
        <w:numPr>
          <w:ilvl w:val="0"/>
          <w:numId w:val="8"/>
        </w:numPr>
        <w:spacing w:line="360" w:lineRule="exact"/>
        <w:ind w:firstLineChars="0"/>
        <w:rPr>
          <w:rFonts w:ascii="Times New Roman" w:hAnsi="Times New Roman" w:cs="Times New Roman" w:eastAsiaTheme="majorEastAsia"/>
          <w:szCs w:val="21"/>
        </w:rPr>
      </w:pPr>
      <w:r>
        <w:rPr>
          <w:rFonts w:ascii="Times New Roman" w:hAnsi="Times New Roman" w:cs="Times New Roman" w:eastAsiaTheme="majorEastAsia"/>
          <w:szCs w:val="21"/>
        </w:rPr>
        <w:t>国内外项目案例分享，现场图文与照片演示成功与失败细节剖析</w:t>
      </w:r>
      <w:r>
        <w:rPr>
          <w:rFonts w:hint="eastAsia" w:ascii="Times New Roman" w:hAnsi="Times New Roman" w:cs="Times New Roman" w:eastAsiaTheme="majorEastAsia"/>
          <w:szCs w:val="21"/>
        </w:rPr>
        <w:t>；</w:t>
      </w:r>
    </w:p>
    <w:p>
      <w:pPr>
        <w:pStyle w:val="14"/>
        <w:numPr>
          <w:ilvl w:val="0"/>
          <w:numId w:val="9"/>
        </w:numPr>
        <w:spacing w:line="360" w:lineRule="exact"/>
        <w:ind w:firstLineChars="0"/>
        <w:rPr>
          <w:rFonts w:ascii="Times New Roman" w:hAnsi="Times New Roman" w:cs="Times New Roman" w:eastAsiaTheme="majorEastAsia"/>
          <w:szCs w:val="21"/>
        </w:rPr>
      </w:pPr>
      <w:r>
        <w:rPr>
          <w:rFonts w:ascii="Times New Roman" w:hAnsi="Times New Roman" w:cs="Times New Roman" w:eastAsiaTheme="majorEastAsia"/>
          <w:kern w:val="0"/>
          <w:szCs w:val="21"/>
        </w:rPr>
        <w:t>包括美国、台湾、香港、澳门、新加坡、北京、上海、广州、深圳、成都、沈阳、西安、苏州、杭州、南京、青岛、天津、重庆等超过100个城市，500个项目案例</w:t>
      </w:r>
      <w:r>
        <w:rPr>
          <w:rFonts w:hint="eastAsia" w:ascii="Times New Roman" w:hAnsi="Times New Roman" w:cs="Times New Roman" w:eastAsiaTheme="majorEastAsia"/>
          <w:kern w:val="0"/>
          <w:szCs w:val="21"/>
        </w:rPr>
        <w:t>；</w:t>
      </w:r>
    </w:p>
    <w:p>
      <w:pPr>
        <w:pStyle w:val="14"/>
        <w:numPr>
          <w:ilvl w:val="0"/>
          <w:numId w:val="10"/>
        </w:numPr>
        <w:spacing w:line="360" w:lineRule="exact"/>
        <w:ind w:firstLineChars="0"/>
        <w:rPr>
          <w:rFonts w:ascii="Times New Roman" w:hAnsi="Times New Roman" w:cs="Times New Roman" w:eastAsiaTheme="majorEastAsia"/>
          <w:szCs w:val="21"/>
        </w:rPr>
      </w:pPr>
      <w:r>
        <w:rPr>
          <w:rFonts w:ascii="Times New Roman" w:hAnsi="Times New Roman" w:cs="Times New Roman" w:eastAsiaTheme="majorEastAsia"/>
          <w:kern w:val="0"/>
          <w:szCs w:val="21"/>
        </w:rPr>
        <w:t>分别从空间与外墙、动线与平面图、设施、服务、商户、推广与导引等面向解析案例。</w:t>
      </w:r>
    </w:p>
    <w:p>
      <w:pPr>
        <w:pStyle w:val="14"/>
        <w:spacing w:line="360" w:lineRule="exact"/>
        <w:ind w:left="420" w:firstLine="0" w:firstLineChars="0"/>
        <w:rPr>
          <w:rFonts w:ascii="Times New Roman" w:hAnsi="Times New Roman" w:cs="Times New Roman" w:eastAsiaTheme="majorEastAsia"/>
          <w:szCs w:val="21"/>
        </w:rPr>
      </w:pPr>
      <w:r>
        <w:rPr>
          <w:rFonts w:ascii="Times New Roman" w:hAnsi="Times New Roman" w:cs="Times New Roman" w:eastAsiaTheme="majorEastAsia"/>
          <w:szCs w:val="21"/>
        </w:rPr>
        <w:drawing>
          <wp:anchor distT="0" distB="0" distL="114300" distR="114300" simplePos="0" relativeHeight="251679744" behindDoc="0" locked="0" layoutInCell="1" allowOverlap="1">
            <wp:simplePos x="0" y="0"/>
            <wp:positionH relativeFrom="column">
              <wp:posOffset>-13970</wp:posOffset>
            </wp:positionH>
            <wp:positionV relativeFrom="paragraph">
              <wp:posOffset>111760</wp:posOffset>
            </wp:positionV>
            <wp:extent cx="2118360" cy="79248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8358" cy="792480"/>
                    </a:xfrm>
                    <a:prstGeom prst="rect">
                      <a:avLst/>
                    </a:prstGeom>
                  </pic:spPr>
                </pic:pic>
              </a:graphicData>
            </a:graphic>
          </wp:anchor>
        </w:drawing>
      </w:r>
    </w:p>
    <w:p/>
    <w:p>
      <w:pPr>
        <w:spacing w:line="360" w:lineRule="exact"/>
        <w:rPr>
          <w:b/>
        </w:rPr>
      </w:pPr>
    </w:p>
    <w:p>
      <w:pPr>
        <w:spacing w:line="360" w:lineRule="exact"/>
        <w:rPr>
          <w:b/>
        </w:rPr>
      </w:pPr>
    </w:p>
    <w:p>
      <w:pPr>
        <w:spacing w:line="360" w:lineRule="exact"/>
        <w:rPr>
          <w:b/>
        </w:rPr>
      </w:pPr>
      <w:r>
        <w:rPr>
          <w:b/>
        </w:rPr>
        <w:t>参会对象</w:t>
      </w:r>
      <w:r>
        <w:rPr>
          <w:rFonts w:hint="eastAsia"/>
          <w:b/>
        </w:rPr>
        <w:t>：</w:t>
      </w:r>
      <w:r>
        <w:rPr>
          <w:b/>
        </w:rPr>
        <w:t>房企</w:t>
      </w:r>
      <w:r>
        <w:rPr>
          <w:rFonts w:hint="eastAsia"/>
          <w:b/>
        </w:rPr>
        <w:t>、</w:t>
      </w:r>
      <w:r>
        <w:rPr>
          <w:b/>
        </w:rPr>
        <w:t>及商业公司董事长</w:t>
      </w:r>
      <w:r>
        <w:rPr>
          <w:rFonts w:hint="eastAsia"/>
          <w:b/>
        </w:rPr>
        <w:t>、总裁、总经理（仅限30家）</w:t>
      </w:r>
    </w:p>
    <w:p>
      <w:pPr>
        <w:widowControl/>
        <w:rPr>
          <w:b/>
          <w:sz w:val="32"/>
          <w:szCs w:val="32"/>
        </w:rPr>
      </w:pPr>
      <w:r>
        <w:rPr>
          <w:rFonts w:hint="eastAsia"/>
          <w:b/>
        </w:rPr>
        <w:t>教学模式：课程分享+案例分析+疑难解答+考察参观</w:t>
      </w:r>
    </w:p>
    <w:p>
      <w:pPr>
        <w:spacing w:line="360" w:lineRule="exact"/>
        <w:rPr>
          <w:b/>
        </w:rPr>
      </w:pPr>
      <w:r>
        <w:rPr>
          <w:rFonts w:hint="eastAsia"/>
          <w:b/>
        </w:rPr>
        <w:t>学    制：</w:t>
      </w:r>
      <w:r>
        <w:rPr>
          <w:rFonts w:hint="eastAsia"/>
          <w:b/>
          <w:lang w:val="en-US" w:eastAsia="zh-CN"/>
        </w:rPr>
        <w:t>6</w:t>
      </w:r>
      <w:r>
        <w:rPr>
          <w:rFonts w:hint="eastAsia"/>
          <w:b/>
        </w:rPr>
        <w:t>个月</w:t>
      </w:r>
      <w:r>
        <w:rPr>
          <w:rFonts w:hint="eastAsia"/>
          <w:b/>
        </w:rPr>
        <w:br w:type="textWrapping"/>
      </w:r>
      <w:r>
        <w:rPr>
          <w:rFonts w:hint="eastAsia"/>
          <w:b/>
        </w:rPr>
        <w:t>学习费用：</w:t>
      </w:r>
      <w:r>
        <w:rPr>
          <w:rFonts w:hint="eastAsia"/>
          <w:b/>
          <w:color w:val="4F6228" w:themeColor="accent3" w:themeShade="80"/>
          <w:lang w:val="en-US" w:eastAsia="zh-CN"/>
        </w:rPr>
        <w:t>4</w:t>
      </w:r>
      <w:r>
        <w:rPr>
          <w:rFonts w:hint="eastAsia"/>
          <w:b/>
          <w:color w:val="4F6228" w:themeColor="accent3" w:themeShade="80"/>
        </w:rPr>
        <w:t>9800元/人（此</w:t>
      </w:r>
      <w:bookmarkStart w:id="0" w:name="_GoBack"/>
      <w:bookmarkEnd w:id="0"/>
      <w:r>
        <w:rPr>
          <w:rFonts w:hint="eastAsia"/>
          <w:b/>
          <w:color w:val="4F6228" w:themeColor="accent3" w:themeShade="80"/>
        </w:rPr>
        <w:t>费用包含：学费、7个项目考察费、现场咨询费、教材、场地、茶歇。其他差旅食宿费自理）</w:t>
      </w:r>
      <w:r>
        <w:rPr>
          <w:rFonts w:hint="eastAsia"/>
          <w:b/>
          <w:color w:val="E36C09" w:themeColor="accent6" w:themeShade="BF"/>
        </w:rPr>
        <w:br w:type="textWrapping"/>
      </w:r>
    </w:p>
    <w:p>
      <w:pPr>
        <w:spacing w:line="360" w:lineRule="exact"/>
        <w:rPr>
          <w:rFonts w:hint="eastAsia"/>
          <w:b/>
          <w:lang w:val="en-US" w:eastAsia="zh-CN"/>
        </w:rPr>
      </w:pPr>
      <w:r>
        <w:rPr>
          <w:rFonts w:hint="eastAsia"/>
          <w:b/>
        </w:rPr>
        <w:t>联</w:t>
      </w:r>
      <w:r>
        <w:rPr>
          <w:rFonts w:hint="eastAsia"/>
          <w:b/>
          <w:lang w:val="en-US" w:eastAsia="zh-CN"/>
        </w:rPr>
        <w:t xml:space="preserve"> </w:t>
      </w:r>
      <w:r>
        <w:rPr>
          <w:rFonts w:hint="eastAsia"/>
          <w:b/>
        </w:rPr>
        <w:t>系</w:t>
      </w:r>
      <w:r>
        <w:rPr>
          <w:rFonts w:hint="eastAsia"/>
          <w:b/>
          <w:lang w:val="en-US" w:eastAsia="zh-CN"/>
        </w:rPr>
        <w:t xml:space="preserve"> </w:t>
      </w:r>
      <w:r>
        <w:rPr>
          <w:rFonts w:hint="eastAsia"/>
          <w:b/>
        </w:rPr>
        <w:t>人：</w:t>
      </w:r>
      <w:r>
        <w:rPr>
          <w:rFonts w:hint="eastAsia"/>
          <w:b/>
          <w:lang w:eastAsia="zh-CN"/>
        </w:rPr>
        <w:t>张老师</w:t>
      </w:r>
      <w:r>
        <w:rPr>
          <w:rFonts w:hint="eastAsia"/>
          <w:b/>
          <w:lang w:val="en-US" w:eastAsia="zh-CN"/>
        </w:rPr>
        <w:t xml:space="preserve"> 15801019329 （微信同号）</w:t>
      </w:r>
      <w:r>
        <w:rPr>
          <w:rFonts w:hint="eastAsia"/>
          <w:b/>
        </w:rPr>
        <w:br w:type="textWrapping"/>
      </w:r>
      <w:r>
        <w:rPr>
          <w:rFonts w:hint="eastAsia"/>
          <w:b/>
        </w:rPr>
        <w:t>联系电话：</w:t>
      </w:r>
      <w:r>
        <w:rPr>
          <w:rFonts w:hint="eastAsia"/>
          <w:b/>
          <w:lang w:val="en-US" w:eastAsia="zh-CN"/>
        </w:rPr>
        <w:t>010-56156755</w:t>
      </w:r>
    </w:p>
    <w:p>
      <w:pPr>
        <w:spacing w:line="360" w:lineRule="exact"/>
        <w:rPr>
          <w:rFonts w:hint="eastAsia"/>
          <w:b/>
          <w:lang w:val="en-US" w:eastAsia="zh-CN"/>
        </w:rPr>
      </w:pPr>
      <w:r>
        <w:rPr>
          <w:rFonts w:hint="eastAsia"/>
          <w:b/>
          <w:lang w:val="en-US" w:eastAsia="zh-CN"/>
        </w:rPr>
        <w:t>电子邮箱：</w:t>
      </w:r>
      <w:r>
        <w:rPr>
          <w:rFonts w:hint="eastAsia"/>
          <w:b/>
          <w:lang w:val="en-US" w:eastAsia="zh-CN"/>
        </w:rPr>
        <w:fldChar w:fldCharType="begin"/>
      </w:r>
      <w:r>
        <w:rPr>
          <w:rFonts w:hint="eastAsia"/>
          <w:b/>
          <w:lang w:val="en-US" w:eastAsia="zh-CN"/>
        </w:rPr>
        <w:instrText xml:space="preserve"> HYPERLINK "mailto:pkuyxb@163.com" </w:instrText>
      </w:r>
      <w:r>
        <w:rPr>
          <w:rFonts w:hint="eastAsia"/>
          <w:b/>
          <w:lang w:val="en-US" w:eastAsia="zh-CN"/>
        </w:rPr>
        <w:fldChar w:fldCharType="separate"/>
      </w:r>
      <w:r>
        <w:rPr>
          <w:rStyle w:val="8"/>
          <w:rFonts w:hint="eastAsia"/>
          <w:b/>
          <w:lang w:val="en-US" w:eastAsia="zh-CN"/>
        </w:rPr>
        <w:t>pkuyxb@163.com</w:t>
      </w:r>
      <w:r>
        <w:rPr>
          <w:rFonts w:hint="eastAsia"/>
          <w:b/>
          <w:lang w:val="en-US" w:eastAsia="zh-CN"/>
        </w:rPr>
        <w:fldChar w:fldCharType="end"/>
      </w:r>
      <w:r>
        <w:rPr>
          <w:rFonts w:hint="eastAsia"/>
          <w:b/>
          <w:lang w:val="en-US" w:eastAsia="zh-CN"/>
        </w:rPr>
        <w:t xml:space="preserve">    </w:t>
      </w:r>
      <w:r>
        <w:rPr>
          <w:rFonts w:hint="eastAsia"/>
          <w:b/>
          <w:lang w:val="en-US" w:eastAsia="zh-CN"/>
        </w:rPr>
        <w:fldChar w:fldCharType="begin"/>
      </w:r>
      <w:r>
        <w:rPr>
          <w:rFonts w:hint="eastAsia"/>
          <w:b/>
          <w:lang w:val="en-US" w:eastAsia="zh-CN"/>
        </w:rPr>
        <w:instrText xml:space="preserve"> HYPERLINK "mailto:137198858@qq.com" </w:instrText>
      </w:r>
      <w:r>
        <w:rPr>
          <w:rFonts w:hint="eastAsia"/>
          <w:b/>
          <w:lang w:val="en-US" w:eastAsia="zh-CN"/>
        </w:rPr>
        <w:fldChar w:fldCharType="separate"/>
      </w:r>
      <w:r>
        <w:rPr>
          <w:rStyle w:val="8"/>
          <w:rFonts w:hint="eastAsia"/>
          <w:b/>
          <w:lang w:val="en-US" w:eastAsia="zh-CN"/>
        </w:rPr>
        <w:t>137198858@qq.com</w:t>
      </w:r>
      <w:r>
        <w:rPr>
          <w:rFonts w:hint="eastAsia"/>
          <w:b/>
          <w:lang w:val="en-US" w:eastAsia="zh-CN"/>
        </w:rPr>
        <w:fldChar w:fldCharType="end"/>
      </w:r>
      <w:r>
        <w:rPr>
          <w:rFonts w:hint="eastAsia"/>
          <w:b/>
          <w:lang w:val="en-US" w:eastAsia="zh-CN"/>
        </w:rPr>
        <w:t xml:space="preserve">  </w:t>
      </w:r>
    </w:p>
    <w:p>
      <w:pPr>
        <w:spacing w:line="360" w:lineRule="exact"/>
        <w:rPr>
          <w:rFonts w:hint="eastAsia"/>
          <w:b/>
          <w:lang w:val="en-US" w:eastAsia="zh-CN"/>
        </w:rPr>
      </w:pPr>
    </w:p>
    <w:p>
      <w:pPr>
        <w:spacing w:line="360" w:lineRule="exact"/>
        <w:rPr>
          <w:rFonts w:hint="eastAsia"/>
          <w:b/>
          <w:lang w:val="en-US" w:eastAsia="zh-CN"/>
        </w:rPr>
      </w:pPr>
    </w:p>
    <w:p>
      <w:pPr>
        <w:spacing w:line="360" w:lineRule="exact"/>
        <w:rPr>
          <w:rFonts w:hint="eastAsia"/>
          <w:b/>
          <w:lang w:val="en-US" w:eastAsia="zh-CN"/>
        </w:rPr>
      </w:pPr>
    </w:p>
    <w:p>
      <w:pPr>
        <w:spacing w:line="360" w:lineRule="exact"/>
        <w:rPr>
          <w:rFonts w:hint="eastAsia"/>
          <w:b/>
          <w:lang w:val="en-US" w:eastAsia="zh-CN"/>
        </w:rPr>
      </w:pPr>
    </w:p>
    <w:p>
      <w:pPr>
        <w:spacing w:line="360" w:lineRule="exact"/>
        <w:rPr>
          <w:rFonts w:hint="eastAsia"/>
          <w:b/>
          <w:lang w:val="en-US" w:eastAsia="zh-CN"/>
        </w:rPr>
      </w:pPr>
    </w:p>
    <w:p>
      <w:pPr>
        <w:spacing w:line="360" w:lineRule="exact"/>
        <w:rPr>
          <w:rFonts w:hint="eastAsia"/>
          <w:b/>
          <w:lang w:val="en-US" w:eastAsia="zh-CN"/>
        </w:rPr>
      </w:pPr>
    </w:p>
    <w:p>
      <w:pPr>
        <w:spacing w:line="360" w:lineRule="exact"/>
        <w:rPr>
          <w:rFonts w:hint="eastAsia"/>
          <w:b/>
          <w:lang w:val="en-US" w:eastAsia="zh-CN"/>
        </w:rPr>
      </w:pPr>
    </w:p>
    <w:p>
      <w:pPr>
        <w:spacing w:line="360" w:lineRule="exact"/>
        <w:rPr>
          <w:rFonts w:hint="eastAsia"/>
          <w:b/>
          <w:lang w:val="en-US" w:eastAsia="zh-CN"/>
        </w:rPr>
      </w:pPr>
    </w:p>
    <w:p>
      <w:pPr>
        <w:spacing w:line="360" w:lineRule="exact"/>
        <w:rPr>
          <w:rFonts w:hint="eastAsia"/>
          <w:b/>
          <w:lang w:val="en-US" w:eastAsia="zh-CN"/>
        </w:rPr>
      </w:pPr>
    </w:p>
    <w:p>
      <w:pPr>
        <w:spacing w:line="360" w:lineRule="exact"/>
        <w:rPr>
          <w:rFonts w:hint="eastAsia"/>
          <w:b/>
          <w:lang w:val="en-US" w:eastAsia="zh-CN"/>
        </w:rPr>
      </w:pPr>
    </w:p>
    <w:p>
      <w:pPr>
        <w:spacing w:line="360" w:lineRule="exact"/>
        <w:rPr>
          <w:rFonts w:hint="eastAsia"/>
          <w:b/>
          <w:lang w:val="en-US" w:eastAsia="zh-CN"/>
        </w:rPr>
      </w:pPr>
    </w:p>
    <w:p>
      <w:pPr>
        <w:spacing w:line="360" w:lineRule="exact"/>
        <w:rPr>
          <w:rFonts w:hint="eastAsia"/>
          <w:b/>
          <w:lang w:val="en-US" w:eastAsia="zh-CN"/>
        </w:rPr>
      </w:pPr>
    </w:p>
    <w:p>
      <w:pPr>
        <w:spacing w:line="360" w:lineRule="exact"/>
        <w:rPr>
          <w:rFonts w:hint="eastAsia"/>
          <w:b/>
          <w:lang w:val="en-US" w:eastAsia="zh-CN"/>
        </w:rPr>
      </w:pPr>
    </w:p>
    <w:p>
      <w:pPr>
        <w:spacing w:line="360" w:lineRule="exact"/>
        <w:rPr>
          <w:rFonts w:hint="eastAsia"/>
          <w:b/>
          <w:lang w:val="en-US" w:eastAsia="zh-CN"/>
        </w:rPr>
      </w:pPr>
    </w:p>
    <w:p>
      <w:pPr>
        <w:spacing w:line="360" w:lineRule="exact"/>
        <w:rPr>
          <w:rFonts w:hint="eastAsia"/>
          <w:b/>
          <w:lang w:val="en-US" w:eastAsia="zh-CN"/>
        </w:rPr>
      </w:pPr>
    </w:p>
    <w:p>
      <w:pPr>
        <w:spacing w:line="360" w:lineRule="exact"/>
        <w:rPr>
          <w:rFonts w:hint="eastAsia"/>
          <w:b/>
          <w:lang w:val="en-US" w:eastAsia="zh-CN"/>
        </w:rPr>
      </w:pPr>
    </w:p>
    <w:p>
      <w:pPr>
        <w:spacing w:line="360" w:lineRule="exact"/>
        <w:rPr>
          <w:rFonts w:hint="eastAsia"/>
          <w:b/>
          <w:lang w:val="en-US" w:eastAsia="zh-CN"/>
        </w:rPr>
      </w:pPr>
    </w:p>
    <w:p>
      <w:pPr>
        <w:spacing w:line="360" w:lineRule="exact"/>
        <w:rPr>
          <w:rFonts w:hint="eastAsia"/>
          <w:b/>
          <w:lang w:val="en-US" w:eastAsia="zh-CN"/>
        </w:rPr>
      </w:pPr>
    </w:p>
    <w:p>
      <w:pPr>
        <w:spacing w:line="360" w:lineRule="exact"/>
        <w:rPr>
          <w:rFonts w:hint="eastAsia"/>
          <w:b/>
          <w:lang w:val="en-US" w:eastAsia="zh-CN"/>
        </w:rPr>
      </w:pPr>
    </w:p>
    <w:p>
      <w:pPr>
        <w:spacing w:line="360" w:lineRule="exact"/>
        <w:rPr>
          <w:rFonts w:hint="eastAsia"/>
          <w:b/>
          <w:lang w:val="en-US" w:eastAsia="zh-CN"/>
        </w:rPr>
      </w:pPr>
    </w:p>
    <w:p>
      <w:pPr>
        <w:tabs>
          <w:tab w:val="left" w:pos="3722"/>
          <w:tab w:val="center" w:pos="4860"/>
          <w:tab w:val="left" w:pos="7380"/>
          <w:tab w:val="left" w:pos="8190"/>
          <w:tab w:val="right" w:pos="9720"/>
        </w:tabs>
        <w:rPr>
          <w:rFonts w:hint="eastAsia" w:ascii="微软雅黑" w:hAnsi="微软雅黑" w:eastAsia="微软雅黑" w:cs="微软雅黑"/>
          <w:b/>
          <w:color w:val="FF0000"/>
          <w:sz w:val="36"/>
          <w:szCs w:val="36"/>
        </w:rPr>
      </w:pPr>
      <w:r>
        <w:rPr>
          <w:rFonts w:hint="eastAsia" w:ascii="微软雅黑" w:hAnsi="微软雅黑" w:eastAsia="微软雅黑" w:cs="微软雅黑"/>
          <w:b/>
          <w:color w:val="FFFFFF" w:themeColor="background1"/>
          <w:sz w:val="36"/>
          <w:szCs w:val="36"/>
        </w:rPr>
        <w:t>标</w:t>
      </w:r>
      <w:r>
        <w:rPr>
          <w:rFonts w:hint="eastAsia" w:ascii="微软雅黑" w:hAnsi="微软雅黑" w:eastAsia="微软雅黑" w:cs="微软雅黑"/>
          <w:b/>
          <w:color w:val="FFFFFF" w:themeColor="background1"/>
          <w:sz w:val="36"/>
          <w:szCs w:val="36"/>
          <w:lang w:val="en-US" w:eastAsia="zh-CN"/>
        </w:rPr>
        <w:t xml:space="preserve">    </w:t>
      </w:r>
      <w:r>
        <w:rPr>
          <w:rFonts w:hint="eastAsia" w:ascii="微软雅黑" w:hAnsi="微软雅黑" w:eastAsia="微软雅黑" w:cs="微软雅黑"/>
          <w:b/>
          <w:color w:val="FF0000"/>
          <w:sz w:val="36"/>
          <w:szCs w:val="36"/>
        </w:rPr>
        <w:t>杆房地产（商业、产业、文旅）总裁集训营</w:t>
      </w:r>
    </w:p>
    <w:p>
      <w:pPr>
        <w:ind w:firstLine="640"/>
        <w:rPr>
          <w:rFonts w:ascii="微软雅黑" w:hAnsi="微软雅黑" w:eastAsia="微软雅黑" w:cs="微软雅黑"/>
          <w:b/>
          <w:color w:val="C00000"/>
          <w:sz w:val="32"/>
          <w:szCs w:val="32"/>
        </w:rPr>
      </w:pPr>
      <w:r>
        <w:rPr>
          <w:rFonts w:hint="eastAsia" w:ascii="微软雅黑" w:hAnsi="微软雅黑" w:eastAsia="微软雅黑" w:cs="微软雅黑"/>
          <w:b/>
          <w:color w:val="C00000"/>
          <w:sz w:val="36"/>
          <w:szCs w:val="36"/>
        </w:rPr>
        <w:t xml:space="preserve">  </w:t>
      </w:r>
      <w:r>
        <w:rPr>
          <w:rFonts w:hint="eastAsia" w:ascii="微软雅黑" w:hAnsi="微软雅黑" w:eastAsia="微软雅黑" w:cs="微软雅黑"/>
          <w:b/>
          <w:color w:val="C00000"/>
          <w:sz w:val="36"/>
          <w:szCs w:val="36"/>
          <w:lang w:val="en-US" w:eastAsia="zh-CN"/>
        </w:rPr>
        <w:t xml:space="preserve">             </w:t>
      </w:r>
      <w:r>
        <w:rPr>
          <w:rFonts w:hint="eastAsia" w:ascii="微软雅黑" w:hAnsi="微软雅黑" w:eastAsia="微软雅黑" w:cs="微软雅黑"/>
          <w:b/>
          <w:color w:val="FF0000"/>
          <w:sz w:val="36"/>
          <w:szCs w:val="36"/>
          <w:lang w:val="en-US" w:eastAsia="zh-CN"/>
        </w:rPr>
        <w:t xml:space="preserve"> 报名申请表</w:t>
      </w:r>
    </w:p>
    <w:p>
      <w:pPr>
        <w:rPr>
          <w:rFonts w:hint="eastAsia" w:ascii="黑体" w:hAnsi="宋体" w:eastAsia="黑体" w:cs="宋体"/>
          <w:bCs/>
          <w:kern w:val="0"/>
          <w:szCs w:val="21"/>
          <w:lang w:eastAsia="zh-CN"/>
        </w:rPr>
      </w:pPr>
      <w:r>
        <w:rPr>
          <w:rFonts w:hint="eastAsia" w:ascii="黑体" w:hAnsi="宋体" w:eastAsia="黑体" w:cs="宋体"/>
          <w:bCs/>
          <w:kern w:val="0"/>
          <w:szCs w:val="21"/>
          <w:lang w:eastAsia="zh-CN"/>
        </w:rPr>
        <w:t>联系人：张老师</w:t>
      </w:r>
      <w:r>
        <w:rPr>
          <w:rFonts w:hint="eastAsia" w:ascii="黑体" w:hAnsi="宋体" w:eastAsia="黑体" w:cs="宋体"/>
          <w:bCs/>
          <w:kern w:val="0"/>
          <w:szCs w:val="21"/>
          <w:lang w:val="en-US" w:eastAsia="zh-CN"/>
        </w:rPr>
        <w:t xml:space="preserve"> 15801019329（微信同号）</w:t>
      </w:r>
    </w:p>
    <w:tbl>
      <w:tblPr>
        <w:tblStyle w:val="9"/>
        <w:tblW w:w="96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6"/>
        <w:gridCol w:w="1668"/>
        <w:gridCol w:w="1276"/>
        <w:gridCol w:w="1135"/>
        <w:gridCol w:w="709"/>
        <w:gridCol w:w="1417"/>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56" w:type="dxa"/>
            <w:tcBorders>
              <w:top w:val="thinThickSmallGap" w:color="auto" w:sz="2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姓   名</w:t>
            </w:r>
          </w:p>
        </w:tc>
        <w:tc>
          <w:tcPr>
            <w:tcW w:w="1668" w:type="dxa"/>
            <w:tcBorders>
              <w:top w:val="thinThickSmallGap" w:color="auto" w:sz="2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c>
          <w:tcPr>
            <w:tcW w:w="1276" w:type="dxa"/>
            <w:tcBorders>
              <w:top w:val="thinThickSmallGap" w:color="auto" w:sz="2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性    别</w:t>
            </w:r>
          </w:p>
        </w:tc>
        <w:tc>
          <w:tcPr>
            <w:tcW w:w="1844" w:type="dxa"/>
            <w:gridSpan w:val="2"/>
            <w:tcBorders>
              <w:top w:val="thinThickSmallGap" w:color="auto" w:sz="2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c>
          <w:tcPr>
            <w:tcW w:w="1417" w:type="dxa"/>
            <w:tcBorders>
              <w:top w:val="thinThickSmallGap" w:color="auto" w:sz="2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出生年月</w:t>
            </w:r>
          </w:p>
        </w:tc>
        <w:tc>
          <w:tcPr>
            <w:tcW w:w="1897" w:type="dxa"/>
            <w:tcBorders>
              <w:top w:val="thinThickSmallGap" w:color="auto" w:sz="2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民   族</w:t>
            </w:r>
          </w:p>
        </w:tc>
        <w:tc>
          <w:tcPr>
            <w:tcW w:w="1668"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最高学历</w:t>
            </w:r>
          </w:p>
        </w:tc>
        <w:tc>
          <w:tcPr>
            <w:tcW w:w="1844"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专    业</w:t>
            </w:r>
          </w:p>
        </w:tc>
        <w:tc>
          <w:tcPr>
            <w:tcW w:w="189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Cs/>
                <w:kern w:val="0"/>
                <w:szCs w:val="21"/>
              </w:rPr>
            </w:pPr>
            <w:r>
              <w:rPr>
                <w:rFonts w:hint="eastAsia" w:ascii="宋体" w:hAnsi="宋体" w:eastAsia="宋体" w:cs="宋体"/>
                <w:bCs/>
                <w:kern w:val="0"/>
                <w:szCs w:val="21"/>
              </w:rPr>
              <w:t>手机号码</w:t>
            </w:r>
          </w:p>
        </w:tc>
        <w:tc>
          <w:tcPr>
            <w:tcW w:w="1668"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Cs/>
                <w:kern w:val="0"/>
                <w:szCs w:val="21"/>
              </w:rPr>
            </w:pPr>
            <w:r>
              <w:rPr>
                <w:rFonts w:hint="eastAsia" w:ascii="宋体" w:hAnsi="宋体" w:eastAsia="宋体" w:cs="宋体"/>
                <w:bCs/>
                <w:kern w:val="0"/>
                <w:szCs w:val="21"/>
              </w:rPr>
              <w:t>单位电话</w:t>
            </w:r>
          </w:p>
        </w:tc>
        <w:tc>
          <w:tcPr>
            <w:tcW w:w="1844"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Cs/>
                <w:kern w:val="0"/>
                <w:szCs w:val="21"/>
              </w:rPr>
            </w:pPr>
            <w:r>
              <w:rPr>
                <w:rFonts w:hint="eastAsia" w:ascii="宋体" w:hAnsi="宋体" w:eastAsia="宋体" w:cs="宋体"/>
                <w:bCs/>
                <w:kern w:val="0"/>
                <w:szCs w:val="21"/>
              </w:rPr>
              <w:t>单位传真</w:t>
            </w:r>
          </w:p>
        </w:tc>
        <w:tc>
          <w:tcPr>
            <w:tcW w:w="189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现任职务</w:t>
            </w:r>
          </w:p>
        </w:tc>
        <w:tc>
          <w:tcPr>
            <w:tcW w:w="1668"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担任年限</w:t>
            </w:r>
          </w:p>
        </w:tc>
        <w:tc>
          <w:tcPr>
            <w:tcW w:w="1844" w:type="dxa"/>
            <w:gridSpan w:val="2"/>
            <w:tcBorders>
              <w:top w:val="single" w:color="auto" w:sz="4" w:space="0"/>
              <w:left w:val="single" w:color="auto" w:sz="4" w:space="0"/>
              <w:bottom w:val="single" w:color="auto" w:sz="4" w:space="0"/>
              <w:right w:val="single" w:color="auto" w:sz="4" w:space="0"/>
            </w:tcBorders>
            <w:vAlign w:val="center"/>
          </w:tcPr>
          <w:p>
            <w:pPr>
              <w:ind w:firstLine="1260" w:firstLineChars="600"/>
              <w:jc w:val="left"/>
              <w:rPr>
                <w:rFonts w:ascii="宋体" w:hAnsi="宋体" w:eastAsia="宋体" w:cs="宋体"/>
                <w:bCs/>
                <w:kern w:val="0"/>
                <w:szCs w:val="21"/>
              </w:rPr>
            </w:pPr>
            <w:r>
              <w:rPr>
                <w:rFonts w:hint="eastAsia" w:ascii="宋体" w:hAnsi="宋体" w:eastAsia="宋体" w:cs="宋体"/>
                <w:bCs/>
                <w:kern w:val="0"/>
                <w:szCs w:val="21"/>
              </w:rPr>
              <w:t>年</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E—MAIL</w:t>
            </w:r>
          </w:p>
        </w:tc>
        <w:tc>
          <w:tcPr>
            <w:tcW w:w="1897" w:type="dxa"/>
            <w:tcBorders>
              <w:top w:val="single" w:color="auto" w:sz="4" w:space="0"/>
              <w:left w:val="single" w:color="auto" w:sz="4" w:space="0"/>
              <w:bottom w:val="single" w:color="auto" w:sz="4" w:space="0"/>
              <w:right w:val="single" w:color="auto" w:sz="4" w:space="0"/>
            </w:tcBorders>
            <w:vAlign w:val="center"/>
          </w:tcPr>
          <w:p>
            <w:pPr>
              <w:ind w:firstLine="1260" w:firstLineChars="600"/>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身份证号码</w:t>
            </w: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单位名称</w:t>
            </w:r>
          </w:p>
        </w:tc>
        <w:tc>
          <w:tcPr>
            <w:tcW w:w="4788" w:type="dxa"/>
            <w:gridSpan w:val="4"/>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Cs/>
                <w:kern w:val="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Cs/>
                <w:kern w:val="0"/>
                <w:szCs w:val="21"/>
              </w:rPr>
            </w:pPr>
            <w:r>
              <w:rPr>
                <w:rFonts w:hint="eastAsia" w:ascii="宋体" w:hAnsi="宋体" w:eastAsia="宋体" w:cs="宋体"/>
                <w:bCs/>
                <w:kern w:val="0"/>
                <w:szCs w:val="21"/>
              </w:rPr>
              <w:t>单位网址</w:t>
            </w:r>
          </w:p>
        </w:tc>
        <w:tc>
          <w:tcPr>
            <w:tcW w:w="189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单位地址</w:t>
            </w:r>
          </w:p>
        </w:tc>
        <w:tc>
          <w:tcPr>
            <w:tcW w:w="4788" w:type="dxa"/>
            <w:gridSpan w:val="4"/>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Cs/>
                <w:kern w:val="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Cs/>
                <w:kern w:val="0"/>
                <w:szCs w:val="21"/>
              </w:rPr>
            </w:pPr>
            <w:r>
              <w:rPr>
                <w:rFonts w:hint="eastAsia" w:ascii="宋体" w:hAnsi="宋体" w:eastAsia="宋体" w:cs="宋体"/>
                <w:bCs/>
                <w:kern w:val="0"/>
                <w:szCs w:val="21"/>
              </w:rPr>
              <w:t>邮政编码</w:t>
            </w:r>
          </w:p>
        </w:tc>
        <w:tc>
          <w:tcPr>
            <w:tcW w:w="189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经营范围</w:t>
            </w: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p>
            <w:pPr>
              <w:widowControl/>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资产规模</w:t>
            </w:r>
          </w:p>
        </w:tc>
        <w:tc>
          <w:tcPr>
            <w:tcW w:w="1668"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年营业额</w:t>
            </w:r>
          </w:p>
        </w:tc>
        <w:tc>
          <w:tcPr>
            <w:tcW w:w="1844"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r>
              <w:rPr>
                <w:rFonts w:hint="eastAsia" w:ascii="宋体" w:hAnsi="宋体" w:eastAsia="宋体" w:cs="宋体"/>
                <w:bCs/>
                <w:kern w:val="0"/>
                <w:szCs w:val="21"/>
              </w:rPr>
              <w:t>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员工人数</w:t>
            </w:r>
          </w:p>
        </w:tc>
        <w:tc>
          <w:tcPr>
            <w:tcW w:w="189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r>
              <w:rPr>
                <w:rFonts w:hint="eastAsia" w:ascii="宋体" w:hAnsi="宋体" w:eastAsia="宋体" w:cs="宋体"/>
                <w:bCs/>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eastAsia="宋体" w:cs="宋体"/>
                <w:bCs/>
                <w:kern w:val="0"/>
                <w:szCs w:val="21"/>
              </w:rPr>
            </w:pPr>
            <w:r>
              <w:rPr>
                <w:rFonts w:hint="eastAsia" w:ascii="宋体" w:hAnsi="宋体" w:eastAsia="宋体" w:cs="宋体"/>
                <w:bCs/>
                <w:kern w:val="0"/>
                <w:szCs w:val="21"/>
              </w:rPr>
              <w:t>学习目标</w:t>
            </w: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eastAsia="宋体" w:cs="宋体"/>
                <w:bCs/>
                <w:kern w:val="0"/>
                <w:szCs w:val="21"/>
              </w:rPr>
            </w:pPr>
            <w:r>
              <w:rPr>
                <w:rFonts w:hint="eastAsia" w:ascii="宋体" w:hAnsi="宋体" w:eastAsia="宋体" w:cs="宋体"/>
                <w:bCs/>
                <w:kern w:val="0"/>
                <w:szCs w:val="21"/>
              </w:rPr>
              <w:t>兴趣、爱好</w:t>
            </w:r>
          </w:p>
        </w:tc>
        <w:tc>
          <w:tcPr>
            <w:tcW w:w="2944" w:type="dxa"/>
            <w:gridSpan w:val="2"/>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宋体" w:hAnsi="宋体" w:eastAsia="宋体" w:cs="宋体"/>
                <w:bCs/>
                <w:kern w:val="0"/>
                <w:szCs w:val="21"/>
              </w:rPr>
            </w:pPr>
          </w:p>
        </w:tc>
        <w:tc>
          <w:tcPr>
            <w:tcW w:w="11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宋体" w:hAnsi="宋体" w:eastAsia="宋体" w:cs="宋体"/>
                <w:bCs/>
                <w:kern w:val="0"/>
                <w:szCs w:val="21"/>
              </w:rPr>
            </w:pPr>
            <w:r>
              <w:rPr>
                <w:rFonts w:hint="eastAsia" w:ascii="宋体" w:hAnsi="宋体" w:eastAsia="宋体" w:cs="宋体"/>
                <w:bCs/>
                <w:kern w:val="0"/>
                <w:szCs w:val="21"/>
              </w:rPr>
              <w:t>文体特长</w:t>
            </w:r>
          </w:p>
        </w:tc>
        <w:tc>
          <w:tcPr>
            <w:tcW w:w="4023" w:type="dxa"/>
            <w:gridSpan w:val="3"/>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04"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Cs/>
                <w:kern w:val="0"/>
                <w:szCs w:val="21"/>
              </w:rPr>
            </w:pPr>
            <w:r>
              <w:rPr>
                <w:rFonts w:hint="eastAsia" w:ascii="宋体" w:hAnsi="宋体" w:eastAsia="宋体" w:cs="宋体"/>
                <w:bCs/>
                <w:kern w:val="0"/>
                <w:szCs w:val="21"/>
              </w:rPr>
              <w:t>学习经历</w:t>
            </w: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p>
            <w:pPr>
              <w:widowControl/>
              <w:jc w:val="left"/>
              <w:rPr>
                <w:rFonts w:ascii="宋体" w:hAnsi="宋体" w:eastAsia="宋体" w:cs="宋体"/>
                <w:bCs/>
                <w:kern w:val="0"/>
                <w:szCs w:val="21"/>
              </w:rPr>
            </w:pPr>
          </w:p>
          <w:p>
            <w:pPr>
              <w:widowControl/>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97"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Cs/>
                <w:kern w:val="0"/>
                <w:szCs w:val="21"/>
              </w:rPr>
            </w:pPr>
            <w:r>
              <w:rPr>
                <w:rFonts w:hint="eastAsia" w:ascii="宋体" w:hAnsi="宋体" w:eastAsia="宋体" w:cs="宋体"/>
                <w:bCs/>
                <w:kern w:val="0"/>
                <w:szCs w:val="21"/>
              </w:rPr>
              <w:t>工作经历</w:t>
            </w: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p>
            <w:pPr>
              <w:widowControl/>
              <w:jc w:val="left"/>
              <w:rPr>
                <w:rFonts w:ascii="宋体" w:hAnsi="宋体" w:eastAsia="宋体" w:cs="宋体"/>
                <w:bCs/>
                <w:kern w:val="0"/>
                <w:szCs w:val="21"/>
              </w:rPr>
            </w:pPr>
          </w:p>
          <w:p>
            <w:pPr>
              <w:widowControl/>
              <w:jc w:val="left"/>
              <w:rPr>
                <w:rFonts w:ascii="宋体" w:hAnsi="宋体" w:eastAsia="宋体" w:cs="宋体"/>
                <w:bCs/>
                <w:kern w:val="0"/>
                <w:szCs w:val="21"/>
              </w:rPr>
            </w:pPr>
          </w:p>
          <w:p>
            <w:pPr>
              <w:widowControl/>
              <w:jc w:val="left"/>
              <w:rPr>
                <w:rFonts w:ascii="宋体" w:hAnsi="宋体" w:eastAsia="宋体" w:cs="宋体"/>
                <w:bCs/>
                <w:kern w:val="0"/>
                <w:szCs w:val="21"/>
              </w:rPr>
            </w:pPr>
          </w:p>
          <w:p>
            <w:pPr>
              <w:widowControl/>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5" w:hRule="atLeast"/>
          <w:jc w:val="center"/>
        </w:trPr>
        <w:tc>
          <w:tcPr>
            <w:tcW w:w="9658" w:type="dxa"/>
            <w:gridSpan w:val="7"/>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r>
              <w:rPr>
                <w:rFonts w:hint="eastAsia" w:ascii="宋体" w:hAnsi="宋体" w:eastAsia="宋体" w:cs="宋体"/>
                <w:bCs/>
                <w:kern w:val="0"/>
                <w:szCs w:val="21"/>
              </w:rPr>
              <w:t>您是通过什么途径了解到本招生信息的：</w:t>
            </w:r>
          </w:p>
          <w:p>
            <w:pPr>
              <w:widowControl/>
              <w:jc w:val="left"/>
              <w:rPr>
                <w:rFonts w:ascii="宋体" w:hAnsi="宋体" w:eastAsia="宋体" w:cs="宋体"/>
                <w:bCs/>
                <w:kern w:val="0"/>
                <w:szCs w:val="21"/>
              </w:rPr>
            </w:pPr>
            <w:r>
              <w:rPr>
                <w:rFonts w:hint="eastAsia" w:ascii="宋体" w:hAnsi="宋体" w:eastAsia="宋体" w:cs="宋体"/>
                <w:bCs/>
                <w:kern w:val="0"/>
                <w:szCs w:val="21"/>
              </w:rPr>
              <w:t>□报纸(注明名称):                  □杂志(注明名称):                 □我院网站</w:t>
            </w:r>
          </w:p>
          <w:p>
            <w:pPr>
              <w:widowControl/>
              <w:jc w:val="left"/>
              <w:rPr>
                <w:rFonts w:ascii="宋体" w:hAnsi="宋体" w:eastAsia="宋体" w:cs="宋体"/>
                <w:bCs/>
                <w:kern w:val="0"/>
                <w:szCs w:val="21"/>
              </w:rPr>
            </w:pPr>
            <w:r>
              <w:rPr>
                <w:rFonts w:hint="eastAsia" w:ascii="宋体" w:hAnsi="宋体" w:eastAsia="宋体" w:cs="宋体"/>
                <w:bCs/>
                <w:kern w:val="0"/>
                <w:szCs w:val="21"/>
              </w:rPr>
              <w:t>□其它网站(注明名称):              □我院刊物（院报、院刊等）        □媒体报道</w:t>
            </w:r>
          </w:p>
          <w:p>
            <w:pPr>
              <w:widowControl/>
              <w:jc w:val="left"/>
              <w:rPr>
                <w:rFonts w:ascii="宋体" w:hAnsi="宋体" w:eastAsia="宋体" w:cs="宋体"/>
                <w:bCs/>
                <w:kern w:val="0"/>
                <w:szCs w:val="21"/>
              </w:rPr>
            </w:pPr>
            <w:r>
              <w:rPr>
                <w:rFonts w:hint="eastAsia" w:ascii="宋体" w:hAnsi="宋体" w:eastAsia="宋体" w:cs="宋体"/>
                <w:bCs/>
                <w:kern w:val="0"/>
                <w:szCs w:val="21"/>
              </w:rPr>
              <w:t>□信件                             □其它(注明情况)：</w:t>
            </w:r>
          </w:p>
          <w:p>
            <w:pPr>
              <w:widowControl/>
              <w:jc w:val="left"/>
              <w:rPr>
                <w:rFonts w:ascii="宋体" w:hAnsi="宋体" w:eastAsia="宋体" w:cs="宋体"/>
                <w:bCs/>
                <w:kern w:val="0"/>
                <w:szCs w:val="21"/>
              </w:rPr>
            </w:pPr>
            <w:r>
              <w:rPr>
                <w:rFonts w:hint="eastAsia" w:ascii="宋体" w:hAnsi="宋体" w:eastAsia="宋体" w:cs="宋体"/>
                <w:bCs/>
                <w:kern w:val="0"/>
                <w:szCs w:val="21"/>
              </w:rPr>
              <w:t>□朋友推荐(如推荐人为我院老学员,请务必注明:推荐人姓名   所属班级)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9658" w:type="dxa"/>
            <w:gridSpan w:val="7"/>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r>
              <w:rPr>
                <w:rFonts w:hint="eastAsia" w:ascii="宋体" w:hAnsi="宋体" w:eastAsia="宋体" w:cs="宋体"/>
                <w:bCs/>
                <w:kern w:val="0"/>
                <w:szCs w:val="21"/>
              </w:rPr>
              <w:t>是否需要协助预定住宿:  □否    □是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9658"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宋体" w:cs="宋体"/>
                <w:szCs w:val="20"/>
              </w:rPr>
            </w:pPr>
            <w:r>
              <w:rPr>
                <w:rFonts w:hint="eastAsia" w:ascii="Times New Roman" w:hAnsi="Times New Roman" w:eastAsia="宋体" w:cs="宋体"/>
                <w:szCs w:val="20"/>
              </w:rPr>
              <w:t>此表复印或传真均有效，请务必详细真实填写上述信息</w:t>
            </w:r>
          </w:p>
          <w:p>
            <w:pPr>
              <w:widowControl/>
              <w:jc w:val="left"/>
              <w:rPr>
                <w:rFonts w:ascii="宋体" w:hAnsi="宋体" w:eastAsia="宋体" w:cs="宋体"/>
                <w:bCs/>
                <w:kern w:val="0"/>
                <w:szCs w:val="21"/>
              </w:rPr>
            </w:pPr>
            <w:r>
              <w:rPr>
                <w:rFonts w:ascii="宋体" w:hAnsi="宋体" w:eastAsia="宋体" w:cs="宋体"/>
                <w:kern w:val="0"/>
                <w:sz w:val="24"/>
                <w:szCs w:val="24"/>
              </w:rPr>
              <w:t>请将学费通过银行汇入指定运营</w:t>
            </w:r>
            <w:r>
              <w:rPr>
                <w:rFonts w:hint="eastAsia" w:ascii="宋体" w:hAnsi="宋体" w:eastAsia="宋体" w:cs="宋体"/>
                <w:kern w:val="0"/>
                <w:sz w:val="24"/>
                <w:szCs w:val="24"/>
              </w:rPr>
              <w:t>帐户</w:t>
            </w:r>
          </w:p>
          <w:p>
            <w:pPr>
              <w:widowControl/>
              <w:jc w:val="left"/>
              <w:rPr>
                <w:rFonts w:ascii="宋体" w:hAnsi="宋体" w:eastAsia="宋体" w:cs="宋体"/>
                <w:bCs/>
                <w:kern w:val="0"/>
                <w:szCs w:val="21"/>
              </w:rPr>
            </w:pPr>
          </w:p>
        </w:tc>
      </w:tr>
    </w:tbl>
    <w:p>
      <w:r>
        <w:rPr>
          <w:rFonts w:hint="eastAsia" w:ascii="Times New Roman" w:hAnsi="Times New Roman" w:eastAsia="宋体" w:cs="宋体"/>
          <w:szCs w:val="20"/>
        </w:rPr>
        <w:t>注：填写报名表后请发送至：</w:t>
      </w:r>
      <w:r>
        <w:rPr>
          <w:rFonts w:hint="eastAsia" w:ascii="Times New Roman" w:hAnsi="Times New Roman" w:eastAsia="宋体" w:cs="宋体"/>
          <w:szCs w:val="20"/>
          <w:lang w:val="en-US" w:eastAsia="zh-CN"/>
        </w:rPr>
        <w:fldChar w:fldCharType="begin"/>
      </w:r>
      <w:r>
        <w:rPr>
          <w:rFonts w:hint="eastAsia" w:ascii="Times New Roman" w:hAnsi="Times New Roman" w:eastAsia="宋体" w:cs="宋体"/>
          <w:szCs w:val="20"/>
          <w:lang w:val="en-US" w:eastAsia="zh-CN"/>
        </w:rPr>
        <w:instrText xml:space="preserve"> HYPERLINK "mailto:pkuyxb@163.com" </w:instrText>
      </w:r>
      <w:r>
        <w:rPr>
          <w:rFonts w:hint="eastAsia" w:ascii="Times New Roman" w:hAnsi="Times New Roman" w:eastAsia="宋体" w:cs="宋体"/>
          <w:szCs w:val="20"/>
          <w:lang w:val="en-US" w:eastAsia="zh-CN"/>
        </w:rPr>
        <w:fldChar w:fldCharType="separate"/>
      </w:r>
      <w:r>
        <w:rPr>
          <w:rStyle w:val="8"/>
          <w:rFonts w:hint="eastAsia" w:ascii="Times New Roman" w:hAnsi="Times New Roman" w:eastAsia="宋体" w:cs="宋体"/>
          <w:szCs w:val="20"/>
          <w:lang w:val="en-US" w:eastAsia="zh-CN"/>
        </w:rPr>
        <w:t>pkuyxb@163.com</w:t>
      </w:r>
      <w:r>
        <w:rPr>
          <w:rFonts w:hint="eastAsia" w:ascii="Times New Roman" w:hAnsi="Times New Roman" w:eastAsia="宋体" w:cs="宋体"/>
          <w:szCs w:val="20"/>
          <w:lang w:val="en-US" w:eastAsia="zh-CN"/>
        </w:rPr>
        <w:fldChar w:fldCharType="end"/>
      </w:r>
      <w:r>
        <w:rPr>
          <w:rFonts w:hint="eastAsia" w:ascii="Times New Roman" w:hAnsi="Times New Roman" w:eastAsia="宋体" w:cs="宋体"/>
          <w:szCs w:val="20"/>
          <w:lang w:val="en-US" w:eastAsia="zh-CN"/>
        </w:rPr>
        <w:t xml:space="preserve">  张老师收</w:t>
      </w:r>
    </w:p>
    <w:p>
      <w:pPr>
        <w:spacing w:line="360" w:lineRule="exact"/>
        <w:rPr>
          <w:rFonts w:hint="eastAsia"/>
          <w:b/>
          <w:lang w:val="en-US" w:eastAsia="zh-CN"/>
        </w:rPr>
      </w:pPr>
    </w:p>
    <w:p>
      <w:pPr>
        <w:widowControl/>
        <w:rPr>
          <w:b/>
          <w:sz w:val="32"/>
          <w:szCs w:val="32"/>
        </w:rPr>
      </w:pPr>
    </w:p>
    <w:sectPr>
      <w:pgSz w:w="11906" w:h="16838"/>
      <w:pgMar w:top="1021" w:right="1418" w:bottom="1021"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E09F9"/>
    <w:multiLevelType w:val="multilevel"/>
    <w:tmpl w:val="020E09F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586208C"/>
    <w:multiLevelType w:val="multilevel"/>
    <w:tmpl w:val="0586208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A6E4DFE"/>
    <w:multiLevelType w:val="multilevel"/>
    <w:tmpl w:val="0A6E4DF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16200344"/>
    <w:multiLevelType w:val="multilevel"/>
    <w:tmpl w:val="1620034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4FC56D4"/>
    <w:multiLevelType w:val="multilevel"/>
    <w:tmpl w:val="34FC56D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17016DA"/>
    <w:multiLevelType w:val="multilevel"/>
    <w:tmpl w:val="417016D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2B604AD"/>
    <w:multiLevelType w:val="multilevel"/>
    <w:tmpl w:val="42B604A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526D79"/>
    <w:multiLevelType w:val="multilevel"/>
    <w:tmpl w:val="4A526D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F5C4F4A"/>
    <w:multiLevelType w:val="multilevel"/>
    <w:tmpl w:val="4F5C4F4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80F38F5"/>
    <w:multiLevelType w:val="multilevel"/>
    <w:tmpl w:val="780F38F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8"/>
  </w:num>
  <w:num w:numId="3">
    <w:abstractNumId w:val="6"/>
  </w:num>
  <w:num w:numId="4">
    <w:abstractNumId w:val="5"/>
  </w:num>
  <w:num w:numId="5">
    <w:abstractNumId w:val="3"/>
  </w:num>
  <w:num w:numId="6">
    <w:abstractNumId w:val="7"/>
  </w:num>
  <w:num w:numId="7">
    <w:abstractNumId w:val="4"/>
  </w:num>
  <w:num w:numId="8">
    <w:abstractNumId w:val="9"/>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2"/>
  </w:compat>
  <w:rsids>
    <w:rsidRoot w:val="008E02DF"/>
    <w:rsid w:val="000018BB"/>
    <w:rsid w:val="00005FD2"/>
    <w:rsid w:val="00014865"/>
    <w:rsid w:val="00041734"/>
    <w:rsid w:val="0004380D"/>
    <w:rsid w:val="00046B93"/>
    <w:rsid w:val="00052E04"/>
    <w:rsid w:val="00074314"/>
    <w:rsid w:val="00077455"/>
    <w:rsid w:val="00092E27"/>
    <w:rsid w:val="00094E45"/>
    <w:rsid w:val="00097E08"/>
    <w:rsid w:val="000C53A8"/>
    <w:rsid w:val="000D41C6"/>
    <w:rsid w:val="000F438B"/>
    <w:rsid w:val="000F66C5"/>
    <w:rsid w:val="001230B9"/>
    <w:rsid w:val="00126A9F"/>
    <w:rsid w:val="0014291C"/>
    <w:rsid w:val="0014461A"/>
    <w:rsid w:val="00147950"/>
    <w:rsid w:val="00165AA9"/>
    <w:rsid w:val="00174FAC"/>
    <w:rsid w:val="00175DEF"/>
    <w:rsid w:val="00184431"/>
    <w:rsid w:val="001A3C70"/>
    <w:rsid w:val="001B47F4"/>
    <w:rsid w:val="001E4B9E"/>
    <w:rsid w:val="001F5B88"/>
    <w:rsid w:val="001F7407"/>
    <w:rsid w:val="00236158"/>
    <w:rsid w:val="00240359"/>
    <w:rsid w:val="00251386"/>
    <w:rsid w:val="0026241C"/>
    <w:rsid w:val="0028029C"/>
    <w:rsid w:val="00285B20"/>
    <w:rsid w:val="002D413C"/>
    <w:rsid w:val="002E3E51"/>
    <w:rsid w:val="002E7331"/>
    <w:rsid w:val="002F34BA"/>
    <w:rsid w:val="002F5EE8"/>
    <w:rsid w:val="003027E3"/>
    <w:rsid w:val="00306C92"/>
    <w:rsid w:val="00306E5C"/>
    <w:rsid w:val="00307ECC"/>
    <w:rsid w:val="0031220A"/>
    <w:rsid w:val="00341C63"/>
    <w:rsid w:val="00347DB1"/>
    <w:rsid w:val="00353E4A"/>
    <w:rsid w:val="00366D99"/>
    <w:rsid w:val="00376541"/>
    <w:rsid w:val="003909F0"/>
    <w:rsid w:val="00391788"/>
    <w:rsid w:val="003A2B0F"/>
    <w:rsid w:val="003D6256"/>
    <w:rsid w:val="003E4808"/>
    <w:rsid w:val="003F28D5"/>
    <w:rsid w:val="00400AE7"/>
    <w:rsid w:val="00407DAF"/>
    <w:rsid w:val="0041019F"/>
    <w:rsid w:val="00436656"/>
    <w:rsid w:val="00452371"/>
    <w:rsid w:val="00457D80"/>
    <w:rsid w:val="0046062E"/>
    <w:rsid w:val="00460EFE"/>
    <w:rsid w:val="004709A5"/>
    <w:rsid w:val="004742F9"/>
    <w:rsid w:val="00490AAA"/>
    <w:rsid w:val="004B54D5"/>
    <w:rsid w:val="004B7104"/>
    <w:rsid w:val="004C5721"/>
    <w:rsid w:val="004F4C06"/>
    <w:rsid w:val="00507C67"/>
    <w:rsid w:val="00510B9B"/>
    <w:rsid w:val="00510FF7"/>
    <w:rsid w:val="00514F14"/>
    <w:rsid w:val="005705F6"/>
    <w:rsid w:val="005863B7"/>
    <w:rsid w:val="00597096"/>
    <w:rsid w:val="005A1441"/>
    <w:rsid w:val="005C1AA2"/>
    <w:rsid w:val="005F79C2"/>
    <w:rsid w:val="0060480E"/>
    <w:rsid w:val="00606970"/>
    <w:rsid w:val="00611E5D"/>
    <w:rsid w:val="006216F9"/>
    <w:rsid w:val="006313BB"/>
    <w:rsid w:val="006335F1"/>
    <w:rsid w:val="00633E93"/>
    <w:rsid w:val="006379A2"/>
    <w:rsid w:val="00640F6A"/>
    <w:rsid w:val="00644508"/>
    <w:rsid w:val="006457D8"/>
    <w:rsid w:val="00647158"/>
    <w:rsid w:val="006521CC"/>
    <w:rsid w:val="006638B7"/>
    <w:rsid w:val="00666D9E"/>
    <w:rsid w:val="00670415"/>
    <w:rsid w:val="006743FB"/>
    <w:rsid w:val="00674DE3"/>
    <w:rsid w:val="0068103C"/>
    <w:rsid w:val="00681C14"/>
    <w:rsid w:val="006A250B"/>
    <w:rsid w:val="006A2700"/>
    <w:rsid w:val="006A54CF"/>
    <w:rsid w:val="006C044C"/>
    <w:rsid w:val="006D48E1"/>
    <w:rsid w:val="00700DD0"/>
    <w:rsid w:val="0071362E"/>
    <w:rsid w:val="0071598E"/>
    <w:rsid w:val="00716310"/>
    <w:rsid w:val="00725D66"/>
    <w:rsid w:val="00726309"/>
    <w:rsid w:val="00726616"/>
    <w:rsid w:val="0073111B"/>
    <w:rsid w:val="00733352"/>
    <w:rsid w:val="00763F6B"/>
    <w:rsid w:val="007715F2"/>
    <w:rsid w:val="007755A9"/>
    <w:rsid w:val="00792879"/>
    <w:rsid w:val="007A5F0C"/>
    <w:rsid w:val="007B0994"/>
    <w:rsid w:val="007C2702"/>
    <w:rsid w:val="007E29C0"/>
    <w:rsid w:val="007F73B7"/>
    <w:rsid w:val="00803FA0"/>
    <w:rsid w:val="008103BC"/>
    <w:rsid w:val="00820534"/>
    <w:rsid w:val="008213C1"/>
    <w:rsid w:val="00825574"/>
    <w:rsid w:val="008324D3"/>
    <w:rsid w:val="0084280C"/>
    <w:rsid w:val="00844FA0"/>
    <w:rsid w:val="00845336"/>
    <w:rsid w:val="00854E54"/>
    <w:rsid w:val="00856202"/>
    <w:rsid w:val="008677E8"/>
    <w:rsid w:val="00872F5D"/>
    <w:rsid w:val="00880599"/>
    <w:rsid w:val="008910D9"/>
    <w:rsid w:val="00891120"/>
    <w:rsid w:val="008967A7"/>
    <w:rsid w:val="008A197E"/>
    <w:rsid w:val="008B2A2A"/>
    <w:rsid w:val="008B430A"/>
    <w:rsid w:val="008E02DF"/>
    <w:rsid w:val="008E4295"/>
    <w:rsid w:val="008F7BCB"/>
    <w:rsid w:val="0090073B"/>
    <w:rsid w:val="00901144"/>
    <w:rsid w:val="009079BD"/>
    <w:rsid w:val="009111FC"/>
    <w:rsid w:val="009216E7"/>
    <w:rsid w:val="00925D9B"/>
    <w:rsid w:val="00937765"/>
    <w:rsid w:val="00943EDF"/>
    <w:rsid w:val="00947745"/>
    <w:rsid w:val="00947E78"/>
    <w:rsid w:val="009625A2"/>
    <w:rsid w:val="0096298F"/>
    <w:rsid w:val="00973699"/>
    <w:rsid w:val="00992819"/>
    <w:rsid w:val="00994D26"/>
    <w:rsid w:val="009A4A5D"/>
    <w:rsid w:val="009D2BC6"/>
    <w:rsid w:val="009D4275"/>
    <w:rsid w:val="009D5641"/>
    <w:rsid w:val="009E4994"/>
    <w:rsid w:val="009E684A"/>
    <w:rsid w:val="009F4297"/>
    <w:rsid w:val="00A12D55"/>
    <w:rsid w:val="00A141B7"/>
    <w:rsid w:val="00A20409"/>
    <w:rsid w:val="00A24F53"/>
    <w:rsid w:val="00A60A5C"/>
    <w:rsid w:val="00A634AF"/>
    <w:rsid w:val="00A67510"/>
    <w:rsid w:val="00A749B8"/>
    <w:rsid w:val="00AA7315"/>
    <w:rsid w:val="00AA793C"/>
    <w:rsid w:val="00AE403B"/>
    <w:rsid w:val="00B050A7"/>
    <w:rsid w:val="00B12061"/>
    <w:rsid w:val="00B343B9"/>
    <w:rsid w:val="00B40721"/>
    <w:rsid w:val="00B4348F"/>
    <w:rsid w:val="00B53B75"/>
    <w:rsid w:val="00B94B51"/>
    <w:rsid w:val="00B94EA6"/>
    <w:rsid w:val="00BA3CED"/>
    <w:rsid w:val="00BB0397"/>
    <w:rsid w:val="00BB4680"/>
    <w:rsid w:val="00BB789E"/>
    <w:rsid w:val="00BD72B8"/>
    <w:rsid w:val="00BF6E09"/>
    <w:rsid w:val="00C33E40"/>
    <w:rsid w:val="00C44350"/>
    <w:rsid w:val="00C67D9B"/>
    <w:rsid w:val="00CA080B"/>
    <w:rsid w:val="00CC077D"/>
    <w:rsid w:val="00CE0048"/>
    <w:rsid w:val="00CE310D"/>
    <w:rsid w:val="00CE3C8A"/>
    <w:rsid w:val="00D176F7"/>
    <w:rsid w:val="00D22884"/>
    <w:rsid w:val="00D26268"/>
    <w:rsid w:val="00D42C2D"/>
    <w:rsid w:val="00D52ADE"/>
    <w:rsid w:val="00D62D7F"/>
    <w:rsid w:val="00D70AC1"/>
    <w:rsid w:val="00D72D2F"/>
    <w:rsid w:val="00D7354A"/>
    <w:rsid w:val="00D83632"/>
    <w:rsid w:val="00D87CBA"/>
    <w:rsid w:val="00D926C7"/>
    <w:rsid w:val="00D97D89"/>
    <w:rsid w:val="00DA2D6B"/>
    <w:rsid w:val="00DA3FB5"/>
    <w:rsid w:val="00DB453D"/>
    <w:rsid w:val="00DC101D"/>
    <w:rsid w:val="00DC6428"/>
    <w:rsid w:val="00DD114B"/>
    <w:rsid w:val="00DD25AD"/>
    <w:rsid w:val="00DE435C"/>
    <w:rsid w:val="00DE7015"/>
    <w:rsid w:val="00E125A6"/>
    <w:rsid w:val="00E15B91"/>
    <w:rsid w:val="00E22154"/>
    <w:rsid w:val="00E263A7"/>
    <w:rsid w:val="00E46E5A"/>
    <w:rsid w:val="00E60ADB"/>
    <w:rsid w:val="00E62934"/>
    <w:rsid w:val="00E66BC8"/>
    <w:rsid w:val="00E71E45"/>
    <w:rsid w:val="00E8211F"/>
    <w:rsid w:val="00EA0B09"/>
    <w:rsid w:val="00EB16E8"/>
    <w:rsid w:val="00EB1FB8"/>
    <w:rsid w:val="00EB2656"/>
    <w:rsid w:val="00EB371D"/>
    <w:rsid w:val="00EB6A3F"/>
    <w:rsid w:val="00EC0246"/>
    <w:rsid w:val="00EC194D"/>
    <w:rsid w:val="00EC3180"/>
    <w:rsid w:val="00ED0DC9"/>
    <w:rsid w:val="00ED44ED"/>
    <w:rsid w:val="00ED7832"/>
    <w:rsid w:val="00EE07D4"/>
    <w:rsid w:val="00F00F65"/>
    <w:rsid w:val="00F028EA"/>
    <w:rsid w:val="00F25110"/>
    <w:rsid w:val="00F31461"/>
    <w:rsid w:val="00F367A4"/>
    <w:rsid w:val="00F76735"/>
    <w:rsid w:val="00F85C7C"/>
    <w:rsid w:val="00F87033"/>
    <w:rsid w:val="00FA3619"/>
    <w:rsid w:val="00FA4DB6"/>
    <w:rsid w:val="00FB3EB7"/>
    <w:rsid w:val="00FC5A4A"/>
    <w:rsid w:val="00FC6CA1"/>
    <w:rsid w:val="09411BD9"/>
    <w:rsid w:val="0E147B72"/>
    <w:rsid w:val="15146E03"/>
    <w:rsid w:val="461028C5"/>
    <w:rsid w:val="53FE577E"/>
    <w:rsid w:val="54A80284"/>
    <w:rsid w:val="555B1373"/>
    <w:rsid w:val="574B15F7"/>
    <w:rsid w:val="5FF56CB5"/>
    <w:rsid w:val="643F2BE6"/>
    <w:rsid w:val="7221040B"/>
    <w:rsid w:val="72BA00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Document Map"/>
    <w:basedOn w:val="1"/>
    <w:link w:val="16"/>
    <w:unhideWhenUsed/>
    <w:qFormat/>
    <w:uiPriority w:val="99"/>
    <w:rPr>
      <w:rFonts w:ascii="宋体" w:eastAsia="宋体"/>
      <w:sz w:val="18"/>
      <w:szCs w:val="18"/>
    </w:rPr>
  </w:style>
  <w:style w:type="paragraph" w:styleId="3">
    <w:name w:val="Balloon Text"/>
    <w:basedOn w:val="1"/>
    <w:link w:val="13"/>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HTML Preformatted"/>
    <w:basedOn w:val="1"/>
    <w:link w:val="17"/>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8">
    <w:name w:val="Hyperlink"/>
    <w:basedOn w:val="7"/>
    <w:unhideWhenUsed/>
    <w:qFormat/>
    <w:uiPriority w:val="99"/>
    <w:rPr>
      <w:color w:val="0000FF"/>
      <w:u w:val="single"/>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页眉 Char"/>
    <w:basedOn w:val="7"/>
    <w:link w:val="5"/>
    <w:qFormat/>
    <w:uiPriority w:val="99"/>
    <w:rPr>
      <w:sz w:val="18"/>
      <w:szCs w:val="18"/>
    </w:rPr>
  </w:style>
  <w:style w:type="character" w:customStyle="1" w:styleId="12">
    <w:name w:val="页脚 Char"/>
    <w:basedOn w:val="7"/>
    <w:link w:val="4"/>
    <w:qFormat/>
    <w:uiPriority w:val="99"/>
    <w:rPr>
      <w:sz w:val="18"/>
      <w:szCs w:val="18"/>
    </w:rPr>
  </w:style>
  <w:style w:type="character" w:customStyle="1" w:styleId="13">
    <w:name w:val="批注框文本 Char"/>
    <w:basedOn w:val="7"/>
    <w:link w:val="3"/>
    <w:semiHidden/>
    <w:qFormat/>
    <w:uiPriority w:val="99"/>
    <w:rPr>
      <w:sz w:val="18"/>
      <w:szCs w:val="18"/>
    </w:rPr>
  </w:style>
  <w:style w:type="paragraph" w:customStyle="1" w:styleId="14">
    <w:name w:val="列出段落1"/>
    <w:basedOn w:val="1"/>
    <w:qFormat/>
    <w:uiPriority w:val="34"/>
    <w:pPr>
      <w:ind w:firstLine="420" w:firstLineChars="200"/>
    </w:pPr>
  </w:style>
  <w:style w:type="paragraph" w:customStyle="1" w:styleId="15">
    <w:name w:val="列出段落2"/>
    <w:basedOn w:val="1"/>
    <w:unhideWhenUsed/>
    <w:qFormat/>
    <w:uiPriority w:val="34"/>
    <w:pPr>
      <w:ind w:firstLine="420" w:firstLineChars="200"/>
    </w:pPr>
  </w:style>
  <w:style w:type="character" w:customStyle="1" w:styleId="16">
    <w:name w:val="文档结构图 Char"/>
    <w:basedOn w:val="7"/>
    <w:link w:val="2"/>
    <w:semiHidden/>
    <w:uiPriority w:val="99"/>
    <w:rPr>
      <w:rFonts w:ascii="宋体" w:hAnsiTheme="minorHAnsi" w:cstheme="minorBidi"/>
      <w:kern w:val="2"/>
      <w:sz w:val="18"/>
      <w:szCs w:val="18"/>
    </w:rPr>
  </w:style>
  <w:style w:type="character" w:customStyle="1" w:styleId="17">
    <w:name w:val="HTML 预设格式 Char"/>
    <w:basedOn w:val="7"/>
    <w:link w:val="6"/>
    <w:semiHidden/>
    <w:qFormat/>
    <w:uiPriority w:val="99"/>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3393F4-E100-4B2A-B3D2-5FA1DDB97488}">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Pages>
  <Words>978</Words>
  <Characters>5581</Characters>
  <Lines>46</Lines>
  <Paragraphs>13</Paragraphs>
  <ScaleCrop>false</ScaleCrop>
  <LinksUpToDate>false</LinksUpToDate>
  <CharactersWithSpaces>6546</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2017-02-06T08:01:00Z</dcterms:created>
  <dc:creator>Administrator</dc:creator>
  <cp:lastModifiedBy>Administrator</cp:lastModifiedBy>
  <cp:lastPrinted>2016-12-06T06:16:00Z</cp:lastPrinted>
  <dcterms:modified xsi:type="dcterms:W3CDTF">2017-12-28T05:59:35Z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